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cs="Times New Roman"/>
        </w:rPr>
      </w:pPr>
    </w:p>
    <w:p>
      <w:pPr>
        <w:spacing w:line="360" w:lineRule="auto"/>
        <w:jc w:val="center"/>
        <w:rPr>
          <w:rFonts w:ascii="微软雅黑" w:hAnsi="微软雅黑" w:eastAsia="微软雅黑" w:cs="Times New Roman"/>
          <w:sz w:val="44"/>
          <w:szCs w:val="44"/>
        </w:rPr>
      </w:pPr>
      <w:bookmarkStart w:id="80" w:name="_GoBack"/>
      <w:bookmarkEnd w:id="80"/>
    </w:p>
    <w:p>
      <w:pPr>
        <w:spacing w:line="360" w:lineRule="auto"/>
        <w:jc w:val="center"/>
        <w:rPr>
          <w:rFonts w:ascii="微软雅黑" w:hAnsi="微软雅黑" w:eastAsia="微软雅黑" w:cs="Times New Roman"/>
          <w:sz w:val="44"/>
          <w:szCs w:val="44"/>
        </w:rPr>
      </w:pPr>
      <w:r>
        <w:rPr>
          <w:rFonts w:ascii="微软雅黑" w:hAnsi="微软雅黑" w:eastAsia="微软雅黑" w:cs="Times New Roman"/>
          <w:sz w:val="44"/>
          <w:szCs w:val="44"/>
        </w:rPr>
        <w:t>&lt;</w:t>
      </w:r>
      <w:r>
        <w:rPr>
          <w:rFonts w:hint="eastAsia" w:ascii="微软雅黑" w:hAnsi="微软雅黑" w:eastAsia="微软雅黑" w:cs="Times New Roman"/>
          <w:sz w:val="44"/>
          <w:szCs w:val="44"/>
          <w:lang w:val="en-US" w:eastAsia="zh-CN"/>
        </w:rPr>
        <w:t>审计法务管理子系统</w:t>
      </w:r>
      <w:r>
        <w:rPr>
          <w:rFonts w:ascii="微软雅黑" w:hAnsi="微软雅黑" w:eastAsia="微软雅黑" w:cs="Times New Roman"/>
          <w:sz w:val="44"/>
          <w:szCs w:val="44"/>
        </w:rPr>
        <w:t>&gt;</w:t>
      </w:r>
    </w:p>
    <w:p>
      <w:pPr>
        <w:spacing w:line="360" w:lineRule="auto"/>
        <w:rPr>
          <w:rFonts w:cs="Times New Roman"/>
        </w:rPr>
      </w:pPr>
    </w:p>
    <w:p>
      <w:pPr>
        <w:spacing w:line="360" w:lineRule="auto"/>
        <w:rPr>
          <w:rFonts w:cs="Times New Roman"/>
        </w:rPr>
      </w:pPr>
    </w:p>
    <w:p>
      <w:pPr>
        <w:spacing w:line="360" w:lineRule="auto"/>
        <w:rPr>
          <w:rFonts w:cs="Times New Roman"/>
        </w:rPr>
      </w:pPr>
    </w:p>
    <w:p>
      <w:pPr>
        <w:spacing w:line="360" w:lineRule="auto"/>
        <w:rPr>
          <w:rFonts w:cs="Times New Roman"/>
        </w:rPr>
      </w:pPr>
    </w:p>
    <w:p>
      <w:pPr>
        <w:spacing w:line="360" w:lineRule="auto"/>
        <w:rPr>
          <w:rFonts w:cs="Times New Roman"/>
        </w:rPr>
      </w:pPr>
    </w:p>
    <w:p>
      <w:pPr>
        <w:spacing w:line="360" w:lineRule="auto"/>
        <w:rPr>
          <w:rFonts w:cs="Times New Roman"/>
        </w:rPr>
      </w:pPr>
    </w:p>
    <w:p>
      <w:pPr>
        <w:spacing w:line="360" w:lineRule="auto"/>
        <w:rPr>
          <w:rFonts w:cs="Times New Roman"/>
        </w:rPr>
      </w:pPr>
    </w:p>
    <w:p>
      <w:pPr>
        <w:spacing w:line="360" w:lineRule="auto"/>
        <w:rPr>
          <w:rFonts w:cs="Times New Roman"/>
        </w:rPr>
      </w:pPr>
    </w:p>
    <w:p>
      <w:pPr>
        <w:spacing w:line="360" w:lineRule="auto"/>
        <w:rPr>
          <w:rFonts w:cs="Times New Roman"/>
        </w:rPr>
      </w:pPr>
    </w:p>
    <w:p>
      <w:pPr>
        <w:spacing w:line="360" w:lineRule="auto"/>
        <w:rPr>
          <w:rFonts w:cs="Times New Roman"/>
        </w:rPr>
      </w:pPr>
      <w:r>
        <mc:AlternateContent>
          <mc:Choice Requires="wps">
            <w:drawing>
              <wp:anchor distT="0" distB="0" distL="114300" distR="114300" simplePos="0" relativeHeight="251659264" behindDoc="0" locked="0" layoutInCell="1" allowOverlap="1">
                <wp:simplePos x="0" y="0"/>
                <wp:positionH relativeFrom="page">
                  <wp:posOffset>-114300</wp:posOffset>
                </wp:positionH>
                <wp:positionV relativeFrom="paragraph">
                  <wp:posOffset>220980</wp:posOffset>
                </wp:positionV>
                <wp:extent cx="7591425" cy="1343025"/>
                <wp:effectExtent l="0" t="0" r="0" b="9525"/>
                <wp:wrapNone/>
                <wp:docPr id="1" name="文本框 95"/>
                <wp:cNvGraphicFramePr/>
                <a:graphic xmlns:a="http://schemas.openxmlformats.org/drawingml/2006/main">
                  <a:graphicData uri="http://schemas.microsoft.com/office/word/2010/wordprocessingShape">
                    <wps:wsp>
                      <wps:cNvSpPr txBox="1"/>
                      <wps:spPr bwMode="auto">
                        <a:xfrm>
                          <a:off x="0" y="0"/>
                          <a:ext cx="7591425" cy="1343025"/>
                        </a:xfrm>
                        <a:prstGeom prst="rect">
                          <a:avLst/>
                        </a:prstGeom>
                        <a:noFill/>
                        <a:ln>
                          <a:noFill/>
                        </a:ln>
                      </wps:spPr>
                      <wps:txbx>
                        <w:txbxContent>
                          <w:p>
                            <w:pPr>
                              <w:spacing w:line="288" w:lineRule="auto"/>
                              <w:jc w:val="center"/>
                              <w:rPr>
                                <w:rFonts w:ascii="微软雅黑" w:hAnsi="微软雅黑" w:eastAsia="微软雅黑" w:cs="Times New Roman"/>
                                <w:b/>
                                <w:bCs/>
                                <w:sz w:val="36"/>
                                <w:szCs w:val="36"/>
                              </w:rPr>
                            </w:pPr>
                          </w:p>
                        </w:txbxContent>
                      </wps:txbx>
                      <wps:bodyPr rot="0" vert="horz" wrap="square" lIns="91440" tIns="45720" rIns="91440" bIns="45720" anchor="t" anchorCtr="0" upright="1">
                        <a:noAutofit/>
                      </wps:bodyPr>
                    </wps:wsp>
                  </a:graphicData>
                </a:graphic>
              </wp:anchor>
            </w:drawing>
          </mc:Choice>
          <mc:Fallback>
            <w:pict>
              <v:shape id="文本框 95" o:spid="_x0000_s1026" o:spt="202" type="#_x0000_t202" style="position:absolute;left:0pt;margin-left:-9pt;margin-top:17.4pt;height:105.75pt;width:597.75pt;mso-position-horizontal-relative:page;z-index:251659264;mso-width-relative:page;mso-height-relative:page;" filled="f" stroked="f" coordsize="21600,21600" o:gfxdata="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7U8np2QAAAAsBAAAPAAAAAAAAAAEAIAAAACIAAABkcnMvZG93bnJl&#10;di54bWxQSwECFAAUAAAACACHTuJAxPDBPfwBAADnAwAADgAAAAAAAAABACAAAAAoAQAAZHJzL2Uy&#10;b0RvYy54bWxQSwUGAAAAAAYABgBZAQAAlgUAAAAA&#10;">
                <v:fill on="f" focussize="0,0"/>
                <v:stroke on="f"/>
                <v:imagedata o:title=""/>
                <o:lock v:ext="edit" aspectratio="f"/>
                <v:textbox>
                  <w:txbxContent>
                    <w:p>
                      <w:pPr>
                        <w:spacing w:line="288" w:lineRule="auto"/>
                        <w:jc w:val="center"/>
                        <w:rPr>
                          <w:rFonts w:ascii="微软雅黑" w:hAnsi="微软雅黑" w:eastAsia="微软雅黑" w:cs="Times New Roman"/>
                          <w:b/>
                          <w:bCs/>
                          <w:sz w:val="36"/>
                          <w:szCs w:val="36"/>
                        </w:rPr>
                      </w:pPr>
                    </w:p>
                  </w:txbxContent>
                </v:textbox>
              </v:shape>
            </w:pict>
          </mc:Fallback>
        </mc:AlternateContent>
      </w:r>
    </w:p>
    <w:p>
      <w:pPr>
        <w:spacing w:line="360" w:lineRule="auto"/>
        <w:rPr>
          <w:rFonts w:cs="Times New Roman"/>
        </w:rPr>
      </w:pPr>
    </w:p>
    <w:p>
      <w:pPr>
        <w:spacing w:line="360" w:lineRule="auto"/>
        <w:rPr>
          <w:rFonts w:cs="Times New Roman"/>
        </w:rPr>
      </w:pPr>
    </w:p>
    <w:p>
      <w:pPr>
        <w:spacing w:line="360" w:lineRule="auto"/>
        <w:rPr>
          <w:rFonts w:cs="Times New Roman"/>
        </w:rPr>
      </w:pPr>
    </w:p>
    <w:p>
      <w:pPr>
        <w:spacing w:line="360" w:lineRule="auto"/>
        <w:rPr>
          <w:rFonts w:cs="Times New Roman"/>
        </w:rPr>
      </w:pPr>
    </w:p>
    <w:p>
      <w:pPr>
        <w:spacing w:line="360" w:lineRule="auto"/>
        <w:rPr>
          <w:rFonts w:cs="Times New Roman"/>
        </w:rPr>
      </w:pPr>
    </w:p>
    <w:p>
      <w:pPr>
        <w:pStyle w:val="17"/>
        <w:spacing w:after="0"/>
        <w:ind w:left="-100"/>
        <w:rPr>
          <w:rFonts w:hint="eastAsia" w:asciiTheme="majorEastAsia" w:hAnsiTheme="majorEastAsia" w:eastAsiaTheme="majorEastAsia"/>
          <w:sz w:val="20"/>
          <w:szCs w:val="20"/>
          <w:lang w:val="en-US" w:eastAsia="zh-CN"/>
        </w:rPr>
      </w:pPr>
      <w:r>
        <w:rPr>
          <w:rFonts w:hint="eastAsia" w:asciiTheme="majorEastAsia" w:hAnsiTheme="majorEastAsia" w:eastAsiaTheme="majorEastAsia"/>
          <w:sz w:val="20"/>
          <w:szCs w:val="20"/>
        </w:rPr>
        <w:t>创建日期</w:t>
      </w:r>
      <w:r>
        <w:rPr>
          <w:rFonts w:asciiTheme="majorEastAsia" w:hAnsiTheme="majorEastAsia" w:eastAsiaTheme="majorEastAsia"/>
          <w:sz w:val="20"/>
          <w:szCs w:val="20"/>
        </w:rPr>
        <w:t>:</w:t>
      </w:r>
      <w:r>
        <w:rPr>
          <w:rFonts w:asciiTheme="majorEastAsia" w:hAnsiTheme="majorEastAsia" w:eastAsiaTheme="majorEastAsia"/>
          <w:sz w:val="20"/>
          <w:szCs w:val="20"/>
        </w:rPr>
        <w:tab/>
      </w:r>
      <w:r>
        <w:rPr>
          <w:rFonts w:asciiTheme="majorEastAsia" w:hAnsiTheme="majorEastAsia" w:eastAsiaTheme="majorEastAsia"/>
          <w:sz w:val="20"/>
          <w:szCs w:val="20"/>
        </w:rPr>
        <w:t>202</w:t>
      </w:r>
      <w:r>
        <w:rPr>
          <w:rFonts w:hint="eastAsia" w:asciiTheme="majorEastAsia" w:hAnsiTheme="majorEastAsia" w:eastAsiaTheme="majorEastAsia"/>
          <w:sz w:val="20"/>
          <w:szCs w:val="20"/>
          <w:lang w:val="en-US" w:eastAsia="zh-CN"/>
        </w:rPr>
        <w:t>3</w:t>
      </w:r>
      <w:r>
        <w:rPr>
          <w:rFonts w:asciiTheme="majorEastAsia" w:hAnsiTheme="majorEastAsia" w:eastAsiaTheme="majorEastAsia"/>
          <w:sz w:val="20"/>
          <w:szCs w:val="20"/>
        </w:rPr>
        <w:t>-</w:t>
      </w:r>
      <w:r>
        <w:rPr>
          <w:rFonts w:hint="eastAsia" w:asciiTheme="majorEastAsia" w:hAnsiTheme="majorEastAsia" w:eastAsiaTheme="majorEastAsia"/>
          <w:sz w:val="20"/>
          <w:szCs w:val="20"/>
          <w:lang w:val="en-US" w:eastAsia="zh-CN"/>
        </w:rPr>
        <w:t>12</w:t>
      </w:r>
      <w:r>
        <w:rPr>
          <w:rFonts w:asciiTheme="majorEastAsia" w:hAnsiTheme="majorEastAsia" w:eastAsiaTheme="majorEastAsia"/>
          <w:sz w:val="20"/>
          <w:szCs w:val="20"/>
        </w:rPr>
        <w:t>-0</w:t>
      </w:r>
      <w:r>
        <w:rPr>
          <w:rFonts w:hint="eastAsia" w:asciiTheme="majorEastAsia" w:hAnsiTheme="majorEastAsia" w:eastAsiaTheme="majorEastAsia"/>
          <w:sz w:val="20"/>
          <w:szCs w:val="20"/>
          <w:lang w:val="en-US" w:eastAsia="zh-CN"/>
        </w:rPr>
        <w:t>8</w:t>
      </w:r>
    </w:p>
    <w:p>
      <w:pPr>
        <w:pStyle w:val="17"/>
        <w:spacing w:after="0"/>
        <w:ind w:left="-100"/>
        <w:rPr>
          <w:rFonts w:hint="eastAsia" w:asciiTheme="majorEastAsia" w:hAnsiTheme="majorEastAsia" w:eastAsiaTheme="majorEastAsia"/>
          <w:b/>
          <w:bCs/>
          <w:sz w:val="20"/>
          <w:szCs w:val="20"/>
          <w:lang w:eastAsia="zh-CN"/>
        </w:rPr>
      </w:pPr>
      <w:r>
        <w:rPr>
          <w:rFonts w:hint="eastAsia" w:asciiTheme="majorEastAsia" w:hAnsiTheme="majorEastAsia" w:eastAsiaTheme="majorEastAsia"/>
          <w:sz w:val="20"/>
          <w:szCs w:val="20"/>
        </w:rPr>
        <w:t>当前版本</w:t>
      </w:r>
      <w:r>
        <w:rPr>
          <w:rFonts w:asciiTheme="majorEastAsia" w:hAnsiTheme="majorEastAsia" w:eastAsiaTheme="majorEastAsia"/>
          <w:sz w:val="20"/>
          <w:szCs w:val="20"/>
        </w:rPr>
        <w:t>:</w:t>
      </w:r>
      <w:r>
        <w:rPr>
          <w:rFonts w:asciiTheme="majorEastAsia" w:hAnsiTheme="majorEastAsia" w:eastAsiaTheme="majorEastAsia"/>
          <w:sz w:val="20"/>
          <w:szCs w:val="20"/>
        </w:rPr>
        <w:tab/>
      </w:r>
      <w:bookmarkStart w:id="0" w:name="DocVersion"/>
      <w:r>
        <w:rPr>
          <w:rFonts w:asciiTheme="majorEastAsia" w:hAnsiTheme="majorEastAsia" w:eastAsiaTheme="majorEastAsia"/>
          <w:sz w:val="20"/>
          <w:szCs w:val="20"/>
        </w:rPr>
        <w:t xml:space="preserve"> </w:t>
      </w:r>
      <w:r>
        <w:rPr>
          <w:rFonts w:hint="eastAsia" w:asciiTheme="majorEastAsia" w:hAnsiTheme="majorEastAsia" w:eastAsiaTheme="majorEastAsia"/>
          <w:sz w:val="20"/>
          <w:szCs w:val="20"/>
          <w:lang w:val="en-US" w:eastAsia="zh-CN"/>
        </w:rPr>
        <w:t>2</w:t>
      </w:r>
      <w:r>
        <w:rPr>
          <w:rFonts w:asciiTheme="majorEastAsia" w:hAnsiTheme="majorEastAsia" w:eastAsiaTheme="majorEastAsia"/>
          <w:sz w:val="20"/>
          <w:szCs w:val="20"/>
        </w:rPr>
        <w:t>.</w:t>
      </w:r>
      <w:bookmarkEnd w:id="0"/>
      <w:r>
        <w:rPr>
          <w:rFonts w:hint="eastAsia" w:asciiTheme="majorEastAsia" w:hAnsiTheme="majorEastAsia" w:eastAsiaTheme="majorEastAsia"/>
          <w:sz w:val="20"/>
          <w:szCs w:val="20"/>
          <w:lang w:val="en-US" w:eastAsia="zh-CN"/>
        </w:rPr>
        <w:t>2</w:t>
      </w:r>
    </w:p>
    <w:p>
      <w:pPr>
        <w:spacing w:line="360" w:lineRule="auto"/>
        <w:rPr>
          <w:rFonts w:cs="Times New Roman"/>
        </w:rPr>
      </w:pPr>
    </w:p>
    <w:p>
      <w:pPr>
        <w:spacing w:line="360" w:lineRule="auto"/>
        <w:rPr>
          <w:rFonts w:cs="Times New Roman"/>
        </w:rPr>
      </w:pPr>
    </w:p>
    <w:p>
      <w:pPr>
        <w:spacing w:line="360" w:lineRule="auto"/>
        <w:rPr>
          <w:rFonts w:cs="Times New Roman"/>
        </w:rPr>
      </w:pPr>
    </w:p>
    <w:p>
      <w:pPr>
        <w:spacing w:line="360" w:lineRule="auto"/>
        <w:rPr>
          <w:rFonts w:cs="Times New Roman"/>
        </w:rPr>
      </w:pPr>
    </w:p>
    <w:p>
      <w:pPr>
        <w:spacing w:line="360" w:lineRule="auto"/>
        <w:rPr>
          <w:rFonts w:cs="Times New Roman"/>
        </w:rPr>
      </w:pPr>
    </w:p>
    <w:p>
      <w:pPr>
        <w:rPr>
          <w:rFonts w:cs="Times New Roman"/>
          <w:b/>
          <w:bCs/>
          <w:sz w:val="32"/>
          <w:szCs w:val="32"/>
        </w:rPr>
      </w:pPr>
      <w:r>
        <w:rPr>
          <w:rFonts w:hint="eastAsia" w:cs="宋体"/>
          <w:b/>
          <w:bCs/>
          <w:sz w:val="32"/>
          <w:szCs w:val="32"/>
        </w:rPr>
        <w:t>文档控制</w:t>
      </w:r>
    </w:p>
    <w:p>
      <w:pPr>
        <w:ind w:firstLine="420"/>
        <w:rPr>
          <w:rFonts w:cs="Times New Roman"/>
        </w:rPr>
      </w:pPr>
    </w:p>
    <w:p>
      <w:pPr>
        <w:ind w:firstLine="482"/>
        <w:rPr>
          <w:rFonts w:cs="Times New Roman"/>
          <w:b/>
          <w:bCs/>
        </w:rPr>
      </w:pPr>
      <w:r>
        <w:rPr>
          <w:rFonts w:hint="eastAsia" w:cs="宋体"/>
          <w:b/>
          <w:bCs/>
        </w:rPr>
        <w:t>更改记录</w:t>
      </w:r>
    </w:p>
    <w:p>
      <w:pPr>
        <w:ind w:firstLine="420"/>
        <w:rPr>
          <w:rFonts w:cs="Times New Roman"/>
        </w:rPr>
      </w:pP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96" w:type="dxa"/>
          <w:bottom w:w="0" w:type="dxa"/>
          <w:right w:w="96" w:type="dxa"/>
        </w:tblCellMar>
      </w:tblPr>
      <w:tblGrid>
        <w:gridCol w:w="1923"/>
        <w:gridCol w:w="1924"/>
        <w:gridCol w:w="1283"/>
        <w:gridCol w:w="3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6" w:type="dxa"/>
            <w:bottom w:w="0" w:type="dxa"/>
            <w:right w:w="96" w:type="dxa"/>
          </w:tblCellMar>
        </w:tblPrEx>
        <w:trPr>
          <w:cantSplit/>
          <w:tblHeader/>
        </w:trPr>
        <w:tc>
          <w:tcPr>
            <w:tcW w:w="1071" w:type="pct"/>
            <w:shd w:val="pct10" w:color="auto" w:fill="auto"/>
          </w:tcPr>
          <w:p>
            <w:pPr>
              <w:ind w:firstLine="420"/>
              <w:rPr>
                <w:rFonts w:cs="Times New Roman"/>
              </w:rPr>
            </w:pPr>
            <w:r>
              <w:rPr>
                <w:rFonts w:hint="eastAsia" w:cs="宋体"/>
              </w:rPr>
              <w:t>日期</w:t>
            </w:r>
          </w:p>
        </w:tc>
        <w:tc>
          <w:tcPr>
            <w:tcW w:w="1071" w:type="pct"/>
            <w:shd w:val="pct10" w:color="auto" w:fill="auto"/>
          </w:tcPr>
          <w:p>
            <w:pPr>
              <w:ind w:firstLine="420"/>
              <w:rPr>
                <w:rFonts w:cs="Times New Roman"/>
              </w:rPr>
            </w:pPr>
            <w:r>
              <w:rPr>
                <w:rFonts w:hint="eastAsia" w:cs="宋体"/>
              </w:rPr>
              <w:t>作者</w:t>
            </w:r>
          </w:p>
        </w:tc>
        <w:tc>
          <w:tcPr>
            <w:tcW w:w="714" w:type="pct"/>
            <w:shd w:val="pct10" w:color="auto" w:fill="auto"/>
          </w:tcPr>
          <w:p>
            <w:pPr>
              <w:rPr>
                <w:rFonts w:cs="Times New Roman"/>
              </w:rPr>
            </w:pPr>
            <w:r>
              <w:rPr>
                <w:rFonts w:hint="eastAsia" w:cs="宋体"/>
              </w:rPr>
              <w:t>版本</w:t>
            </w:r>
          </w:p>
        </w:tc>
        <w:tc>
          <w:tcPr>
            <w:tcW w:w="2143" w:type="pct"/>
            <w:shd w:val="pct10" w:color="auto" w:fill="auto"/>
          </w:tcPr>
          <w:p>
            <w:pPr>
              <w:ind w:firstLine="420"/>
              <w:rPr>
                <w:rFonts w:cs="Times New Roman"/>
              </w:rPr>
            </w:pPr>
            <w:r>
              <w:rPr>
                <w:rFonts w:hint="eastAsia" w:cs="宋体"/>
              </w:rPr>
              <w:t>更改参考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6" w:type="dxa"/>
            <w:bottom w:w="0" w:type="dxa"/>
            <w:right w:w="96" w:type="dxa"/>
          </w:tblCellMar>
        </w:tblPrEx>
        <w:trPr>
          <w:cantSplit/>
          <w:trHeight w:val="60" w:hRule="exact"/>
          <w:tblHeader/>
        </w:trPr>
        <w:tc>
          <w:tcPr>
            <w:tcW w:w="1071" w:type="pct"/>
            <w:shd w:val="pct50" w:color="auto" w:fill="auto"/>
          </w:tcPr>
          <w:p>
            <w:pPr>
              <w:ind w:firstLine="160"/>
              <w:rPr>
                <w:rFonts w:cs="Times New Roman"/>
                <w:sz w:val="8"/>
                <w:szCs w:val="8"/>
              </w:rPr>
            </w:pPr>
          </w:p>
        </w:tc>
        <w:tc>
          <w:tcPr>
            <w:tcW w:w="1071" w:type="pct"/>
            <w:shd w:val="pct50" w:color="auto" w:fill="auto"/>
          </w:tcPr>
          <w:p>
            <w:pPr>
              <w:ind w:firstLine="160"/>
              <w:rPr>
                <w:rFonts w:cs="Times New Roman"/>
                <w:sz w:val="8"/>
                <w:szCs w:val="8"/>
              </w:rPr>
            </w:pPr>
          </w:p>
        </w:tc>
        <w:tc>
          <w:tcPr>
            <w:tcW w:w="714" w:type="pct"/>
            <w:shd w:val="pct50" w:color="auto" w:fill="auto"/>
          </w:tcPr>
          <w:p>
            <w:pPr>
              <w:ind w:firstLine="160"/>
              <w:rPr>
                <w:rFonts w:cs="Times New Roman"/>
                <w:sz w:val="8"/>
                <w:szCs w:val="8"/>
              </w:rPr>
            </w:pPr>
          </w:p>
        </w:tc>
        <w:tc>
          <w:tcPr>
            <w:tcW w:w="2143" w:type="pct"/>
            <w:shd w:val="pct50" w:color="auto" w:fill="auto"/>
          </w:tcPr>
          <w:p>
            <w:pPr>
              <w:ind w:firstLine="160"/>
              <w:rPr>
                <w:rFonts w:cs="Times New Roman"/>
                <w:sz w:val="8"/>
                <w:szCs w:val="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6" w:type="dxa"/>
            <w:bottom w:w="0" w:type="dxa"/>
            <w:right w:w="96" w:type="dxa"/>
          </w:tblCellMar>
        </w:tblPrEx>
        <w:trPr>
          <w:cantSplit/>
        </w:trPr>
        <w:tc>
          <w:tcPr>
            <w:tcW w:w="1071" w:type="pct"/>
          </w:tcPr>
          <w:p/>
        </w:tc>
        <w:tc>
          <w:tcPr>
            <w:tcW w:w="1071" w:type="pct"/>
          </w:tcPr>
          <w:p>
            <w:pPr>
              <w:rPr>
                <w:rFonts w:cs="Times New Roman"/>
              </w:rPr>
            </w:pPr>
          </w:p>
        </w:tc>
        <w:tc>
          <w:tcPr>
            <w:tcW w:w="714" w:type="pct"/>
          </w:tcPr>
          <w:p/>
        </w:tc>
        <w:tc>
          <w:tcPr>
            <w:tcW w:w="2143" w:type="pct"/>
          </w:tcPr>
          <w:p>
            <w:pP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6" w:type="dxa"/>
            <w:bottom w:w="0" w:type="dxa"/>
            <w:right w:w="96" w:type="dxa"/>
          </w:tblCellMar>
        </w:tblPrEx>
        <w:trPr>
          <w:cantSplit/>
        </w:trPr>
        <w:tc>
          <w:tcPr>
            <w:tcW w:w="1071" w:type="pct"/>
          </w:tcPr>
          <w:p/>
        </w:tc>
        <w:tc>
          <w:tcPr>
            <w:tcW w:w="1071" w:type="pct"/>
          </w:tcPr>
          <w:p>
            <w:pPr>
              <w:rPr>
                <w:rFonts w:cs="Times New Roman"/>
              </w:rPr>
            </w:pPr>
          </w:p>
        </w:tc>
        <w:tc>
          <w:tcPr>
            <w:tcW w:w="714" w:type="pct"/>
          </w:tcPr>
          <w:p/>
        </w:tc>
        <w:tc>
          <w:tcPr>
            <w:tcW w:w="2143" w:type="pct"/>
          </w:tcPr>
          <w:p>
            <w:pPr>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96" w:type="dxa"/>
            <w:bottom w:w="0" w:type="dxa"/>
            <w:right w:w="96" w:type="dxa"/>
          </w:tblCellMar>
        </w:tblPrEx>
        <w:trPr>
          <w:cantSplit/>
        </w:trPr>
        <w:tc>
          <w:tcPr>
            <w:tcW w:w="1071" w:type="pct"/>
          </w:tcPr>
          <w:p/>
        </w:tc>
        <w:tc>
          <w:tcPr>
            <w:tcW w:w="1071" w:type="pct"/>
          </w:tcPr>
          <w:p>
            <w:pPr>
              <w:rPr>
                <w:rFonts w:cs="宋体"/>
              </w:rPr>
            </w:pPr>
          </w:p>
        </w:tc>
        <w:tc>
          <w:tcPr>
            <w:tcW w:w="714" w:type="pct"/>
          </w:tcPr>
          <w:p/>
        </w:tc>
        <w:tc>
          <w:tcPr>
            <w:tcW w:w="2143" w:type="pct"/>
          </w:tcPr>
          <w:p>
            <w:pPr>
              <w:rPr>
                <w:rFonts w:cs="宋体"/>
              </w:rPr>
            </w:pPr>
          </w:p>
        </w:tc>
      </w:tr>
    </w:tbl>
    <w:p>
      <w:pPr>
        <w:ind w:firstLine="420"/>
        <w:rPr>
          <w:rFonts w:cs="Times New Roman"/>
        </w:rPr>
      </w:pPr>
    </w:p>
    <w:p>
      <w:pPr>
        <w:ind w:firstLine="482"/>
        <w:rPr>
          <w:rFonts w:cs="Times New Roman"/>
          <w:b/>
          <w:bCs/>
        </w:rPr>
      </w:pPr>
      <w:r>
        <w:rPr>
          <w:rFonts w:hint="eastAsia" w:cs="宋体"/>
          <w:b/>
          <w:bCs/>
        </w:rPr>
        <w:t>审核</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2"/>
        <w:gridCol w:w="2530"/>
        <w:gridCol w:w="4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1095" w:type="pct"/>
            <w:shd w:val="pct10" w:color="auto" w:fill="auto"/>
          </w:tcPr>
          <w:p>
            <w:pPr>
              <w:ind w:firstLine="420"/>
              <w:rPr>
                <w:rFonts w:cs="Times New Roman"/>
              </w:rPr>
            </w:pPr>
            <w:r>
              <w:rPr>
                <w:rFonts w:hint="eastAsia" w:cs="宋体"/>
              </w:rPr>
              <w:t>姓名</w:t>
            </w:r>
          </w:p>
        </w:tc>
        <w:tc>
          <w:tcPr>
            <w:tcW w:w="1405" w:type="pct"/>
            <w:shd w:val="pct10" w:color="auto" w:fill="auto"/>
          </w:tcPr>
          <w:p>
            <w:pPr>
              <w:ind w:firstLine="420"/>
              <w:rPr>
                <w:rFonts w:cs="Times New Roman"/>
              </w:rPr>
            </w:pPr>
            <w:r>
              <w:rPr>
                <w:rFonts w:hint="eastAsia" w:cs="宋体"/>
              </w:rPr>
              <w:t>职位</w:t>
            </w:r>
          </w:p>
        </w:tc>
        <w:tc>
          <w:tcPr>
            <w:tcW w:w="2500" w:type="pct"/>
            <w:shd w:val="pct10" w:color="auto" w:fill="auto"/>
          </w:tcPr>
          <w:p>
            <w:pPr>
              <w:ind w:firstLine="420"/>
              <w:rPr>
                <w:rFonts w:cs="Times New Roman"/>
              </w:rPr>
            </w:pPr>
            <w:r>
              <w:rPr>
                <w:rFonts w:hint="eastAsia" w:cs="宋体"/>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 w:hRule="exact"/>
          <w:tblHeader/>
        </w:trPr>
        <w:tc>
          <w:tcPr>
            <w:tcW w:w="1095" w:type="pct"/>
            <w:shd w:val="pct50" w:color="auto" w:fill="auto"/>
          </w:tcPr>
          <w:p>
            <w:pPr>
              <w:ind w:firstLine="160"/>
              <w:rPr>
                <w:rFonts w:cs="Times New Roman"/>
                <w:sz w:val="8"/>
                <w:szCs w:val="8"/>
              </w:rPr>
            </w:pPr>
          </w:p>
        </w:tc>
        <w:tc>
          <w:tcPr>
            <w:tcW w:w="1405" w:type="pct"/>
            <w:shd w:val="pct50" w:color="auto" w:fill="auto"/>
          </w:tcPr>
          <w:p>
            <w:pPr>
              <w:ind w:firstLine="160"/>
              <w:rPr>
                <w:rFonts w:cs="Times New Roman"/>
                <w:sz w:val="8"/>
                <w:szCs w:val="8"/>
              </w:rPr>
            </w:pPr>
          </w:p>
        </w:tc>
        <w:tc>
          <w:tcPr>
            <w:tcW w:w="2500" w:type="pct"/>
            <w:shd w:val="pct50" w:color="auto" w:fill="auto"/>
          </w:tcPr>
          <w:p>
            <w:pPr>
              <w:ind w:firstLine="160"/>
              <w:rPr>
                <w:rFonts w:cs="Times New Roman"/>
                <w:sz w:val="8"/>
                <w:szCs w:val="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95" w:type="pct"/>
          </w:tcPr>
          <w:p>
            <w:pPr>
              <w:ind w:firstLine="420"/>
              <w:rPr>
                <w:rFonts w:cs="Times New Roman"/>
              </w:rPr>
            </w:pPr>
          </w:p>
        </w:tc>
        <w:tc>
          <w:tcPr>
            <w:tcW w:w="1405" w:type="pct"/>
          </w:tcPr>
          <w:p>
            <w:pPr>
              <w:ind w:firstLine="420"/>
              <w:rPr>
                <w:rFonts w:cs="Times New Roman"/>
              </w:rPr>
            </w:pPr>
          </w:p>
        </w:tc>
        <w:tc>
          <w:tcPr>
            <w:tcW w:w="2500" w:type="pct"/>
          </w:tcPr>
          <w:p>
            <w:pPr>
              <w:ind w:firstLine="420"/>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95" w:type="pct"/>
          </w:tcPr>
          <w:p>
            <w:pPr>
              <w:ind w:firstLine="420"/>
              <w:rPr>
                <w:rFonts w:cs="Times New Roman"/>
              </w:rPr>
            </w:pPr>
          </w:p>
        </w:tc>
        <w:tc>
          <w:tcPr>
            <w:tcW w:w="1405" w:type="pct"/>
          </w:tcPr>
          <w:p>
            <w:pPr>
              <w:ind w:firstLine="420"/>
              <w:rPr>
                <w:rFonts w:cs="Times New Roman"/>
              </w:rPr>
            </w:pPr>
          </w:p>
        </w:tc>
        <w:tc>
          <w:tcPr>
            <w:tcW w:w="2500" w:type="pct"/>
          </w:tcPr>
          <w:p>
            <w:pPr>
              <w:ind w:firstLine="420"/>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95" w:type="pct"/>
          </w:tcPr>
          <w:p>
            <w:pPr>
              <w:ind w:firstLine="420"/>
              <w:rPr>
                <w:rFonts w:cs="Times New Roman"/>
              </w:rPr>
            </w:pPr>
          </w:p>
        </w:tc>
        <w:tc>
          <w:tcPr>
            <w:tcW w:w="1405" w:type="pct"/>
          </w:tcPr>
          <w:p>
            <w:pPr>
              <w:ind w:firstLine="420"/>
              <w:rPr>
                <w:rFonts w:cs="Times New Roman"/>
              </w:rPr>
            </w:pPr>
          </w:p>
        </w:tc>
        <w:tc>
          <w:tcPr>
            <w:tcW w:w="2500" w:type="pct"/>
          </w:tcPr>
          <w:p>
            <w:pPr>
              <w:ind w:firstLine="420"/>
              <w:rPr>
                <w:rFonts w:cs="Times New Roman"/>
              </w:rPr>
            </w:pPr>
          </w:p>
        </w:tc>
      </w:tr>
    </w:tbl>
    <w:p>
      <w:pPr>
        <w:ind w:firstLine="482"/>
        <w:rPr>
          <w:rFonts w:cs="Times New Roman"/>
          <w:b/>
          <w:bCs/>
        </w:rPr>
      </w:pPr>
    </w:p>
    <w:p>
      <w:pPr>
        <w:ind w:firstLine="482"/>
        <w:rPr>
          <w:rFonts w:cs="Times New Roman"/>
          <w:b/>
          <w:bCs/>
        </w:rPr>
      </w:pPr>
      <w:r>
        <w:rPr>
          <w:rFonts w:hint="eastAsia" w:cs="宋体"/>
          <w:b/>
          <w:bCs/>
        </w:rPr>
        <w:t>分发</w:t>
      </w:r>
    </w:p>
    <w:p>
      <w:pPr>
        <w:ind w:firstLine="420"/>
        <w:rPr>
          <w:rFonts w:cs="Times New Roman"/>
        </w:rPr>
      </w:pP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2"/>
        <w:gridCol w:w="2530"/>
        <w:gridCol w:w="4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1095" w:type="pct"/>
            <w:shd w:val="pct10" w:color="auto" w:fill="auto"/>
          </w:tcPr>
          <w:p>
            <w:pPr>
              <w:ind w:firstLine="420"/>
              <w:rPr>
                <w:rFonts w:cs="Times New Roman"/>
              </w:rPr>
            </w:pPr>
            <w:r>
              <w:rPr>
                <w:rFonts w:hint="eastAsia" w:cs="宋体"/>
              </w:rPr>
              <w:t>拷贝号</w:t>
            </w:r>
          </w:p>
        </w:tc>
        <w:tc>
          <w:tcPr>
            <w:tcW w:w="1405" w:type="pct"/>
            <w:shd w:val="pct10" w:color="auto" w:fill="auto"/>
          </w:tcPr>
          <w:p>
            <w:pPr>
              <w:ind w:firstLine="420"/>
              <w:rPr>
                <w:rFonts w:cs="Times New Roman"/>
              </w:rPr>
            </w:pPr>
            <w:r>
              <w:rPr>
                <w:rFonts w:hint="eastAsia" w:cs="宋体"/>
              </w:rPr>
              <w:t>姓名</w:t>
            </w:r>
          </w:p>
        </w:tc>
        <w:tc>
          <w:tcPr>
            <w:tcW w:w="2500" w:type="pct"/>
            <w:shd w:val="pct10" w:color="auto" w:fill="auto"/>
          </w:tcPr>
          <w:p>
            <w:pPr>
              <w:ind w:firstLine="420"/>
              <w:rPr>
                <w:rFonts w:cs="Times New Roman"/>
              </w:rPr>
            </w:pPr>
            <w:r>
              <w:rPr>
                <w:rFonts w:hint="eastAsia" w:cs="宋体"/>
              </w:rPr>
              <w:t>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 w:hRule="exact"/>
          <w:tblHeader/>
        </w:trPr>
        <w:tc>
          <w:tcPr>
            <w:tcW w:w="1095" w:type="pct"/>
            <w:shd w:val="pct50" w:color="auto" w:fill="auto"/>
          </w:tcPr>
          <w:p>
            <w:pPr>
              <w:ind w:firstLine="160"/>
              <w:rPr>
                <w:rFonts w:cs="Times New Roman"/>
                <w:sz w:val="8"/>
                <w:szCs w:val="8"/>
              </w:rPr>
            </w:pPr>
          </w:p>
        </w:tc>
        <w:tc>
          <w:tcPr>
            <w:tcW w:w="1405" w:type="pct"/>
            <w:shd w:val="pct50" w:color="auto" w:fill="auto"/>
          </w:tcPr>
          <w:p>
            <w:pPr>
              <w:ind w:firstLine="160"/>
              <w:rPr>
                <w:rFonts w:cs="Times New Roman"/>
                <w:sz w:val="8"/>
                <w:szCs w:val="8"/>
              </w:rPr>
            </w:pPr>
          </w:p>
        </w:tc>
        <w:tc>
          <w:tcPr>
            <w:tcW w:w="2500" w:type="pct"/>
            <w:shd w:val="pct50" w:color="auto" w:fill="auto"/>
          </w:tcPr>
          <w:p>
            <w:pPr>
              <w:ind w:firstLine="160"/>
              <w:rPr>
                <w:rFonts w:cs="Times New Roman"/>
                <w:sz w:val="8"/>
                <w:szCs w:val="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95" w:type="pct"/>
          </w:tcPr>
          <w:p>
            <w:pPr>
              <w:ind w:firstLine="420"/>
              <w:rPr>
                <w:rFonts w:cs="Times New Roman"/>
              </w:rPr>
            </w:pPr>
          </w:p>
        </w:tc>
        <w:tc>
          <w:tcPr>
            <w:tcW w:w="1405" w:type="pct"/>
          </w:tcPr>
          <w:p>
            <w:pPr>
              <w:ind w:firstLine="420"/>
              <w:rPr>
                <w:rFonts w:cs="Times New Roman"/>
              </w:rPr>
            </w:pPr>
          </w:p>
        </w:tc>
        <w:tc>
          <w:tcPr>
            <w:tcW w:w="2500" w:type="pct"/>
          </w:tcPr>
          <w:p>
            <w:pPr>
              <w:ind w:firstLine="420"/>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95" w:type="pct"/>
          </w:tcPr>
          <w:p>
            <w:pPr>
              <w:ind w:firstLine="420"/>
              <w:rPr>
                <w:rFonts w:cs="Times New Roman"/>
              </w:rPr>
            </w:pPr>
          </w:p>
        </w:tc>
        <w:tc>
          <w:tcPr>
            <w:tcW w:w="1405" w:type="pct"/>
          </w:tcPr>
          <w:p>
            <w:pPr>
              <w:ind w:firstLine="420"/>
              <w:rPr>
                <w:rFonts w:cs="Times New Roman"/>
              </w:rPr>
            </w:pPr>
          </w:p>
        </w:tc>
        <w:tc>
          <w:tcPr>
            <w:tcW w:w="2500" w:type="pct"/>
          </w:tcPr>
          <w:p>
            <w:pPr>
              <w:ind w:firstLine="420"/>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95" w:type="pct"/>
          </w:tcPr>
          <w:p>
            <w:pPr>
              <w:ind w:firstLine="420"/>
              <w:rPr>
                <w:rFonts w:cs="Times New Roman"/>
              </w:rPr>
            </w:pPr>
          </w:p>
        </w:tc>
        <w:tc>
          <w:tcPr>
            <w:tcW w:w="1405" w:type="pct"/>
          </w:tcPr>
          <w:p>
            <w:pPr>
              <w:ind w:firstLine="420"/>
              <w:rPr>
                <w:rFonts w:cs="Times New Roman"/>
              </w:rPr>
            </w:pPr>
          </w:p>
        </w:tc>
        <w:tc>
          <w:tcPr>
            <w:tcW w:w="2500" w:type="pct"/>
          </w:tcPr>
          <w:p>
            <w:pPr>
              <w:ind w:firstLine="420"/>
              <w:rPr>
                <w:rFonts w:cs="Times New Roman"/>
              </w:rPr>
            </w:pPr>
          </w:p>
        </w:tc>
      </w:tr>
    </w:tbl>
    <w:p>
      <w:pPr>
        <w:spacing w:line="360" w:lineRule="auto"/>
        <w:jc w:val="left"/>
        <w:rPr>
          <w:rFonts w:cs="Times New Roman"/>
          <w:sz w:val="44"/>
          <w:szCs w:val="44"/>
        </w:rPr>
      </w:pPr>
    </w:p>
    <w:p>
      <w:pPr>
        <w:spacing w:line="360" w:lineRule="auto"/>
        <w:jc w:val="left"/>
        <w:rPr>
          <w:rFonts w:cs="Times New Roman"/>
          <w:sz w:val="44"/>
          <w:szCs w:val="44"/>
        </w:rPr>
      </w:pPr>
    </w:p>
    <w:p>
      <w:pPr>
        <w:spacing w:line="360" w:lineRule="auto"/>
        <w:jc w:val="left"/>
        <w:rPr>
          <w:rFonts w:cs="Times New Roman"/>
          <w:sz w:val="44"/>
          <w:szCs w:val="44"/>
        </w:rPr>
      </w:pPr>
    </w:p>
    <w:p>
      <w:pPr>
        <w:spacing w:line="360" w:lineRule="auto"/>
        <w:jc w:val="left"/>
        <w:rPr>
          <w:rFonts w:cs="Times New Roman"/>
          <w:sz w:val="44"/>
          <w:szCs w:val="44"/>
        </w:rPr>
      </w:pPr>
    </w:p>
    <w:p>
      <w:pPr>
        <w:spacing w:line="360" w:lineRule="auto"/>
        <w:jc w:val="left"/>
        <w:rPr>
          <w:rFonts w:cs="Times New Roman"/>
          <w:sz w:val="44"/>
          <w:szCs w:val="44"/>
        </w:rPr>
      </w:pPr>
    </w:p>
    <w:p>
      <w:pPr>
        <w:spacing w:line="360" w:lineRule="auto"/>
        <w:jc w:val="left"/>
        <w:rPr>
          <w:rFonts w:cs="Times New Roman"/>
          <w:sz w:val="44"/>
          <w:szCs w:val="44"/>
        </w:rPr>
      </w:pPr>
    </w:p>
    <w:p>
      <w:pPr>
        <w:spacing w:line="360" w:lineRule="auto"/>
        <w:jc w:val="left"/>
        <w:rPr>
          <w:rFonts w:cs="Times New Roman"/>
          <w:sz w:val="44"/>
          <w:szCs w:val="44"/>
        </w:rPr>
      </w:pPr>
    </w:p>
    <w:p>
      <w:pPr>
        <w:spacing w:line="360" w:lineRule="auto"/>
        <w:jc w:val="left"/>
        <w:rPr>
          <w:rFonts w:ascii="宋体" w:cs="Times New Roman"/>
        </w:rPr>
      </w:pPr>
    </w:p>
    <w:p>
      <w:pPr>
        <w:widowControl/>
        <w:jc w:val="left"/>
        <w:rPr>
          <w:rFonts w:ascii="宋体" w:cs="Times New Roman"/>
          <w:b/>
          <w:bCs/>
          <w:sz w:val="24"/>
          <w:szCs w:val="24"/>
        </w:rPr>
      </w:pPr>
      <w:r>
        <w:rPr>
          <w:rFonts w:ascii="宋体" w:cs="Times New Roman"/>
          <w:b/>
          <w:bCs/>
          <w:sz w:val="24"/>
          <w:szCs w:val="24"/>
        </w:rPr>
        <w:br w:type="page"/>
      </w:r>
    </w:p>
    <w:p>
      <w:pPr>
        <w:pStyle w:val="86"/>
        <w:jc w:val="center"/>
        <w:rPr>
          <w:rFonts w:cs="Times New Roman"/>
        </w:rPr>
      </w:pPr>
      <w:r>
        <w:rPr>
          <w:rFonts w:hint="eastAsia" w:cs="宋体"/>
          <w:lang w:val="zh-CN"/>
        </w:rPr>
        <w:t>目录</w:t>
      </w:r>
    </w:p>
    <w:p>
      <w:pPr>
        <w:pStyle w:val="25"/>
        <w:tabs>
          <w:tab w:val="right" w:leader="dot" w:pos="8788"/>
          <w:tab w:val="clear" w:pos="8302"/>
        </w:tabs>
      </w:pP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TOC \o "1-3" \h \z \u </w:instrText>
      </w:r>
      <w:r>
        <w:rPr>
          <w:rFonts w:asciiTheme="minorEastAsia" w:hAnsiTheme="minorEastAsia" w:eastAsiaTheme="minorEastAsia"/>
          <w:sz w:val="24"/>
          <w:szCs w:val="24"/>
        </w:rPr>
        <w:fldChar w:fldCharType="separate"/>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_Toc16741 </w:instrText>
      </w:r>
      <w:r>
        <w:rPr>
          <w:rFonts w:asciiTheme="minorEastAsia" w:hAnsiTheme="minorEastAsia" w:eastAsiaTheme="minorEastAsia"/>
          <w:szCs w:val="24"/>
        </w:rPr>
        <w:fldChar w:fldCharType="separate"/>
      </w:r>
      <w:r>
        <w:rPr>
          <w:rFonts w:hint="eastAsia" w:asciiTheme="minorEastAsia" w:hAnsiTheme="minorEastAsia" w:eastAsiaTheme="minorEastAsia"/>
          <w:szCs w:val="24"/>
        </w:rPr>
        <w:t xml:space="preserve">1. </w:t>
      </w:r>
      <w:r>
        <w:rPr>
          <w:rFonts w:hint="eastAsia" w:cs="宋体" w:asciiTheme="minorEastAsia" w:hAnsiTheme="minorEastAsia" w:eastAsiaTheme="minorEastAsia"/>
          <w:szCs w:val="24"/>
        </w:rPr>
        <w:t>项目概述</w:t>
      </w:r>
      <w:r>
        <w:tab/>
      </w:r>
      <w:r>
        <w:fldChar w:fldCharType="begin"/>
      </w:r>
      <w:r>
        <w:instrText xml:space="preserve"> PAGEREF _Toc16741 \h </w:instrText>
      </w:r>
      <w:r>
        <w:fldChar w:fldCharType="separate"/>
      </w:r>
      <w:r>
        <w:t>- 5 -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_Toc7028 </w:instrText>
      </w:r>
      <w:r>
        <w:rPr>
          <w:rFonts w:asciiTheme="minorEastAsia" w:hAnsiTheme="minorEastAsia" w:eastAsiaTheme="minorEastAsia"/>
          <w:szCs w:val="24"/>
        </w:rPr>
        <w:fldChar w:fldCharType="separate"/>
      </w:r>
      <w:r>
        <w:rPr>
          <w:rFonts w:hint="eastAsia" w:asciiTheme="minorEastAsia" w:hAnsiTheme="minorEastAsia" w:eastAsiaTheme="minorEastAsia"/>
          <w:szCs w:val="24"/>
        </w:rPr>
        <w:t xml:space="preserve">1.1. </w:t>
      </w:r>
      <w:r>
        <w:rPr>
          <w:rFonts w:hint="eastAsia" w:cs="宋体" w:asciiTheme="minorEastAsia" w:hAnsiTheme="minorEastAsia" w:eastAsiaTheme="minorEastAsia"/>
          <w:szCs w:val="24"/>
        </w:rPr>
        <w:t>项目背景</w:t>
      </w:r>
      <w:r>
        <w:tab/>
      </w:r>
      <w:r>
        <w:fldChar w:fldCharType="begin"/>
      </w:r>
      <w:r>
        <w:instrText xml:space="preserve"> PAGEREF _Toc7028 \h </w:instrText>
      </w:r>
      <w:r>
        <w:fldChar w:fldCharType="separate"/>
      </w:r>
      <w:r>
        <w:t>- 5 -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_Toc24372 </w:instrText>
      </w:r>
      <w:r>
        <w:rPr>
          <w:rFonts w:asciiTheme="minorEastAsia" w:hAnsiTheme="minorEastAsia" w:eastAsiaTheme="minorEastAsia"/>
          <w:szCs w:val="24"/>
        </w:rPr>
        <w:fldChar w:fldCharType="separate"/>
      </w:r>
      <w:r>
        <w:rPr>
          <w:rFonts w:hint="eastAsia" w:asciiTheme="minorEastAsia" w:hAnsiTheme="minorEastAsia" w:eastAsiaTheme="minorEastAsia"/>
          <w:szCs w:val="24"/>
        </w:rPr>
        <w:t xml:space="preserve">1.2. </w:t>
      </w:r>
      <w:r>
        <w:rPr>
          <w:rFonts w:hint="eastAsia" w:cs="宋体" w:asciiTheme="minorEastAsia" w:hAnsiTheme="minorEastAsia" w:eastAsiaTheme="minorEastAsia"/>
          <w:szCs w:val="24"/>
        </w:rPr>
        <w:t>项目目标</w:t>
      </w:r>
      <w:r>
        <w:tab/>
      </w:r>
      <w:r>
        <w:fldChar w:fldCharType="begin"/>
      </w:r>
      <w:r>
        <w:instrText xml:space="preserve"> PAGEREF _Toc24372 \h </w:instrText>
      </w:r>
      <w:r>
        <w:fldChar w:fldCharType="separate"/>
      </w:r>
      <w:r>
        <w:t>- 5 -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_Toc666 </w:instrText>
      </w:r>
      <w:r>
        <w:rPr>
          <w:rFonts w:asciiTheme="minorEastAsia" w:hAnsiTheme="minorEastAsia" w:eastAsiaTheme="minorEastAsia"/>
          <w:szCs w:val="24"/>
        </w:rPr>
        <w:fldChar w:fldCharType="separate"/>
      </w:r>
      <w:r>
        <w:rPr>
          <w:rFonts w:hint="eastAsia" w:asciiTheme="minorEastAsia" w:hAnsiTheme="minorEastAsia" w:eastAsiaTheme="minorEastAsia"/>
          <w:szCs w:val="24"/>
        </w:rPr>
        <w:t xml:space="preserve">1.3. </w:t>
      </w:r>
      <w:r>
        <w:rPr>
          <w:rFonts w:hint="eastAsia" w:cs="宋体" w:asciiTheme="minorEastAsia" w:hAnsiTheme="minorEastAsia" w:eastAsiaTheme="minorEastAsia"/>
          <w:szCs w:val="24"/>
        </w:rPr>
        <w:t>项目范围</w:t>
      </w:r>
      <w:r>
        <w:tab/>
      </w:r>
      <w:r>
        <w:fldChar w:fldCharType="begin"/>
      </w:r>
      <w:r>
        <w:instrText xml:space="preserve"> PAGEREF _Toc666 \h </w:instrText>
      </w:r>
      <w:r>
        <w:fldChar w:fldCharType="separate"/>
      </w:r>
      <w:r>
        <w:t>- 6 -</w:t>
      </w:r>
      <w:r>
        <w:fldChar w:fldCharType="end"/>
      </w:r>
      <w:r>
        <w:rPr>
          <w:rFonts w:asciiTheme="minorEastAsia" w:hAnsiTheme="minorEastAsia" w:eastAsiaTheme="minorEastAsia"/>
          <w:szCs w:val="24"/>
        </w:rPr>
        <w:fldChar w:fldCharType="end"/>
      </w:r>
    </w:p>
    <w:p>
      <w:pPr>
        <w:pStyle w:val="25"/>
        <w:tabs>
          <w:tab w:val="right" w:leader="dot" w:pos="8788"/>
          <w:tab w:val="clear" w:pos="8302"/>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_Toc24361 </w:instrText>
      </w:r>
      <w:r>
        <w:rPr>
          <w:rFonts w:asciiTheme="minorEastAsia" w:hAnsiTheme="minorEastAsia" w:eastAsiaTheme="minorEastAsia"/>
          <w:szCs w:val="24"/>
        </w:rPr>
        <w:fldChar w:fldCharType="separate"/>
      </w:r>
      <w:r>
        <w:rPr>
          <w:rFonts w:hint="eastAsia" w:cs="宋体" w:asciiTheme="minorEastAsia" w:hAnsiTheme="minorEastAsia" w:eastAsiaTheme="minorEastAsia"/>
          <w:szCs w:val="24"/>
        </w:rPr>
        <w:t>2. 业务现状分析</w:t>
      </w:r>
      <w:r>
        <w:tab/>
      </w:r>
      <w:r>
        <w:fldChar w:fldCharType="begin"/>
      </w:r>
      <w:r>
        <w:instrText xml:space="preserve"> PAGEREF _Toc24361 \h </w:instrText>
      </w:r>
      <w:r>
        <w:fldChar w:fldCharType="separate"/>
      </w:r>
      <w:r>
        <w:t>- 7 -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_Toc32039 </w:instrText>
      </w:r>
      <w:r>
        <w:rPr>
          <w:rFonts w:asciiTheme="minorEastAsia" w:hAnsiTheme="minorEastAsia" w:eastAsiaTheme="minorEastAsia"/>
          <w:szCs w:val="24"/>
        </w:rPr>
        <w:fldChar w:fldCharType="separate"/>
      </w:r>
      <w:r>
        <w:rPr>
          <w:rFonts w:hint="eastAsia" w:asciiTheme="minorEastAsia" w:hAnsiTheme="minorEastAsia" w:eastAsiaTheme="minorEastAsia"/>
          <w:szCs w:val="24"/>
        </w:rPr>
        <w:t xml:space="preserve">2.1. </w:t>
      </w:r>
      <w:r>
        <w:rPr>
          <w:rFonts w:hint="eastAsia" w:asciiTheme="minorEastAsia" w:hAnsiTheme="minorEastAsia" w:eastAsiaTheme="minorEastAsia"/>
          <w:szCs w:val="24"/>
          <w:lang w:val="en-US" w:eastAsia="zh-CN"/>
        </w:rPr>
        <w:t>审计资源管理</w:t>
      </w:r>
      <w:r>
        <w:tab/>
      </w:r>
      <w:r>
        <w:fldChar w:fldCharType="begin"/>
      </w:r>
      <w:r>
        <w:instrText xml:space="preserve"> PAGEREF _Toc32039 \h </w:instrText>
      </w:r>
      <w:r>
        <w:fldChar w:fldCharType="separate"/>
      </w:r>
      <w:r>
        <w:t>- 7 -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_Toc12377 </w:instrText>
      </w:r>
      <w:r>
        <w:rPr>
          <w:rFonts w:asciiTheme="minorEastAsia" w:hAnsiTheme="minorEastAsia" w:eastAsiaTheme="minorEastAsia"/>
          <w:szCs w:val="24"/>
        </w:rPr>
        <w:fldChar w:fldCharType="separate"/>
      </w:r>
      <w:r>
        <w:rPr>
          <w:rFonts w:hint="eastAsia" w:cs="宋体" w:asciiTheme="minorEastAsia" w:hAnsiTheme="minorEastAsia" w:eastAsiaTheme="minorEastAsia"/>
          <w:szCs w:val="24"/>
        </w:rPr>
        <w:t xml:space="preserve">2.1.1. </w:t>
      </w:r>
      <w:r>
        <w:rPr>
          <w:rFonts w:hint="eastAsia" w:cs="宋体" w:asciiTheme="minorEastAsia" w:hAnsiTheme="minorEastAsia" w:eastAsiaTheme="minorEastAsia"/>
        </w:rPr>
        <w:t>业务状况</w:t>
      </w:r>
      <w:r>
        <w:tab/>
      </w:r>
      <w:r>
        <w:fldChar w:fldCharType="begin"/>
      </w:r>
      <w:r>
        <w:instrText xml:space="preserve"> PAGEREF _Toc12377 \h </w:instrText>
      </w:r>
      <w:r>
        <w:fldChar w:fldCharType="separate"/>
      </w:r>
      <w:r>
        <w:t>- 7 -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_Toc14002 </w:instrText>
      </w:r>
      <w:r>
        <w:rPr>
          <w:rFonts w:asciiTheme="minorEastAsia" w:hAnsiTheme="minorEastAsia" w:eastAsiaTheme="minorEastAsia"/>
          <w:szCs w:val="24"/>
        </w:rPr>
        <w:fldChar w:fldCharType="separate"/>
      </w:r>
      <w:r>
        <w:rPr>
          <w:rFonts w:hint="eastAsia" w:cs="宋体" w:asciiTheme="minorEastAsia" w:hAnsiTheme="minorEastAsia" w:eastAsiaTheme="minorEastAsia"/>
        </w:rPr>
        <w:t>2.1.2. 业务基本需求</w:t>
      </w:r>
      <w:r>
        <w:tab/>
      </w:r>
      <w:r>
        <w:fldChar w:fldCharType="begin"/>
      </w:r>
      <w:r>
        <w:instrText xml:space="preserve"> PAGEREF _Toc14002 \h </w:instrText>
      </w:r>
      <w:r>
        <w:fldChar w:fldCharType="separate"/>
      </w:r>
      <w:r>
        <w:t>- 7 -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_Toc11659 </w:instrText>
      </w:r>
      <w:r>
        <w:rPr>
          <w:rFonts w:asciiTheme="minorEastAsia" w:hAnsiTheme="minorEastAsia" w:eastAsiaTheme="minorEastAsia"/>
          <w:szCs w:val="24"/>
        </w:rPr>
        <w:fldChar w:fldCharType="separate"/>
      </w:r>
      <w:r>
        <w:rPr>
          <w:rFonts w:hint="eastAsia" w:cs="宋体" w:asciiTheme="minorEastAsia" w:hAnsiTheme="minorEastAsia" w:eastAsiaTheme="minorEastAsia"/>
        </w:rPr>
        <w:t>2.1.3. 详细需求说明</w:t>
      </w:r>
      <w:r>
        <w:tab/>
      </w:r>
      <w:r>
        <w:fldChar w:fldCharType="begin"/>
      </w:r>
      <w:r>
        <w:instrText xml:space="preserve"> PAGEREF _Toc11659 \h </w:instrText>
      </w:r>
      <w:r>
        <w:fldChar w:fldCharType="separate"/>
      </w:r>
      <w:r>
        <w:t>- 8 -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_Toc11843 </w:instrText>
      </w:r>
      <w:r>
        <w:rPr>
          <w:rFonts w:asciiTheme="minorEastAsia" w:hAnsiTheme="minorEastAsia" w:eastAsiaTheme="minorEastAsia"/>
          <w:szCs w:val="24"/>
        </w:rPr>
        <w:fldChar w:fldCharType="separate"/>
      </w:r>
      <w:r>
        <w:rPr>
          <w:rFonts w:hint="eastAsia" w:cs="Times New Roman" w:asciiTheme="minorEastAsia" w:hAnsiTheme="minorEastAsia" w:eastAsiaTheme="minorEastAsia"/>
          <w:bCs/>
          <w:kern w:val="2"/>
          <w:szCs w:val="24"/>
          <w:lang w:val="en-US" w:eastAsia="zh-CN" w:bidi="ar-SA"/>
        </w:rPr>
        <w:t>2.2. 审计计划管理</w:t>
      </w:r>
      <w:r>
        <w:tab/>
      </w:r>
      <w:r>
        <w:fldChar w:fldCharType="begin"/>
      </w:r>
      <w:r>
        <w:instrText xml:space="preserve"> PAGEREF _Toc11843 \h </w:instrText>
      </w:r>
      <w:r>
        <w:fldChar w:fldCharType="separate"/>
      </w:r>
      <w:r>
        <w:t>- 9 -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_Toc13184 </w:instrText>
      </w:r>
      <w:r>
        <w:rPr>
          <w:rFonts w:asciiTheme="minorEastAsia" w:hAnsiTheme="minorEastAsia" w:eastAsiaTheme="minorEastAsia"/>
          <w:szCs w:val="24"/>
        </w:rPr>
        <w:fldChar w:fldCharType="separate"/>
      </w:r>
      <w:r>
        <w:rPr>
          <w:rFonts w:hint="eastAsia" w:asciiTheme="minorEastAsia" w:hAnsiTheme="minorEastAsia" w:eastAsiaTheme="minorEastAsia"/>
        </w:rPr>
        <w:t xml:space="preserve">2.2.1. </w:t>
      </w:r>
      <w:r>
        <w:rPr>
          <w:rFonts w:hint="eastAsia" w:cs="宋体" w:asciiTheme="minorEastAsia" w:hAnsiTheme="minorEastAsia" w:eastAsiaTheme="minorEastAsia"/>
        </w:rPr>
        <w:t>业务状况</w:t>
      </w:r>
      <w:r>
        <w:tab/>
      </w:r>
      <w:r>
        <w:fldChar w:fldCharType="begin"/>
      </w:r>
      <w:r>
        <w:instrText xml:space="preserve"> PAGEREF _Toc13184 \h </w:instrText>
      </w:r>
      <w:r>
        <w:fldChar w:fldCharType="separate"/>
      </w:r>
      <w:r>
        <w:t>- 9 -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_Toc10252 </w:instrText>
      </w:r>
      <w:r>
        <w:rPr>
          <w:rFonts w:asciiTheme="minorEastAsia" w:hAnsiTheme="minorEastAsia" w:eastAsiaTheme="minorEastAsia"/>
          <w:szCs w:val="24"/>
        </w:rPr>
        <w:fldChar w:fldCharType="separate"/>
      </w:r>
      <w:r>
        <w:rPr>
          <w:rFonts w:hint="eastAsia" w:cs="宋体" w:asciiTheme="minorEastAsia" w:hAnsiTheme="minorEastAsia" w:eastAsiaTheme="minorEastAsia"/>
        </w:rPr>
        <w:t>2.2.2. 业务基本需求</w:t>
      </w:r>
      <w:r>
        <w:tab/>
      </w:r>
      <w:r>
        <w:fldChar w:fldCharType="begin"/>
      </w:r>
      <w:r>
        <w:instrText xml:space="preserve"> PAGEREF _Toc10252 \h </w:instrText>
      </w:r>
      <w:r>
        <w:fldChar w:fldCharType="separate"/>
      </w:r>
      <w:r>
        <w:t>- 9 -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_Toc11852 </w:instrText>
      </w:r>
      <w:r>
        <w:rPr>
          <w:rFonts w:asciiTheme="minorEastAsia" w:hAnsiTheme="minorEastAsia" w:eastAsiaTheme="minorEastAsia"/>
          <w:szCs w:val="24"/>
        </w:rPr>
        <w:fldChar w:fldCharType="separate"/>
      </w:r>
      <w:r>
        <w:rPr>
          <w:rFonts w:hint="eastAsia" w:cs="宋体" w:asciiTheme="minorEastAsia" w:hAnsiTheme="minorEastAsia" w:eastAsiaTheme="minorEastAsia"/>
        </w:rPr>
        <w:t>2.2.3. 详细需求说明</w:t>
      </w:r>
      <w:r>
        <w:tab/>
      </w:r>
      <w:r>
        <w:fldChar w:fldCharType="begin"/>
      </w:r>
      <w:r>
        <w:instrText xml:space="preserve"> PAGEREF _Toc11852 \h </w:instrText>
      </w:r>
      <w:r>
        <w:fldChar w:fldCharType="separate"/>
      </w:r>
      <w:r>
        <w:t>- 10 -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_Toc24021 </w:instrText>
      </w:r>
      <w:r>
        <w:rPr>
          <w:rFonts w:asciiTheme="minorEastAsia" w:hAnsiTheme="minorEastAsia" w:eastAsiaTheme="minorEastAsia"/>
          <w:szCs w:val="24"/>
        </w:rPr>
        <w:fldChar w:fldCharType="separate"/>
      </w:r>
      <w:r>
        <w:rPr>
          <w:rFonts w:hint="eastAsia"/>
          <w:lang w:val="en-US" w:eastAsia="zh-CN"/>
        </w:rPr>
        <w:t xml:space="preserve">2.3. </w:t>
      </w:r>
      <w:r>
        <w:rPr>
          <w:rFonts w:hint="eastAsia" w:cs="Times New Roman" w:asciiTheme="minorEastAsia" w:hAnsiTheme="minorEastAsia" w:eastAsiaTheme="minorEastAsia"/>
          <w:bCs/>
          <w:kern w:val="2"/>
          <w:szCs w:val="24"/>
          <w:lang w:val="en-US" w:eastAsia="zh-CN" w:bidi="ar-SA"/>
        </w:rPr>
        <w:t>审计项目管理</w:t>
      </w:r>
      <w:r>
        <w:tab/>
      </w:r>
      <w:r>
        <w:fldChar w:fldCharType="begin"/>
      </w:r>
      <w:r>
        <w:instrText xml:space="preserve"> PAGEREF _Toc24021 \h </w:instrText>
      </w:r>
      <w:r>
        <w:fldChar w:fldCharType="separate"/>
      </w:r>
      <w:r>
        <w:t>- 13 -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_Toc32401 </w:instrText>
      </w:r>
      <w:r>
        <w:rPr>
          <w:rFonts w:asciiTheme="minorEastAsia" w:hAnsiTheme="minorEastAsia" w:eastAsiaTheme="minorEastAsia"/>
          <w:szCs w:val="24"/>
        </w:rPr>
        <w:fldChar w:fldCharType="separate"/>
      </w:r>
      <w:r>
        <w:rPr>
          <w:rFonts w:hint="eastAsia"/>
        </w:rPr>
        <w:t xml:space="preserve">2.3.1. </w:t>
      </w:r>
      <w:r>
        <w:rPr>
          <w:rFonts w:hint="eastAsia"/>
          <w:lang w:val="en-US" w:eastAsia="zh-CN"/>
        </w:rPr>
        <w:t>业务状况</w:t>
      </w:r>
      <w:r>
        <w:tab/>
      </w:r>
      <w:r>
        <w:fldChar w:fldCharType="begin"/>
      </w:r>
      <w:r>
        <w:instrText xml:space="preserve"> PAGEREF _Toc32401 \h </w:instrText>
      </w:r>
      <w:r>
        <w:fldChar w:fldCharType="separate"/>
      </w:r>
      <w:r>
        <w:t>- 13 -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_Toc27586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2.3.2. </w:t>
      </w:r>
      <w:r>
        <w:rPr>
          <w:rFonts w:hint="eastAsia" w:cs="Times New Roman"/>
          <w:bCs/>
          <w:kern w:val="2"/>
          <w:szCs w:val="24"/>
          <w:lang w:val="en-US" w:eastAsia="zh-CN" w:bidi="ar-SA"/>
        </w:rPr>
        <w:t>业务基本需求</w:t>
      </w:r>
      <w:r>
        <w:tab/>
      </w:r>
      <w:r>
        <w:fldChar w:fldCharType="begin"/>
      </w:r>
      <w:r>
        <w:instrText xml:space="preserve"> PAGEREF _Toc27586 \h </w:instrText>
      </w:r>
      <w:r>
        <w:fldChar w:fldCharType="separate"/>
      </w:r>
      <w:r>
        <w:t>- 13 -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_Toc23981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2.3.3. </w:t>
      </w:r>
      <w:r>
        <w:rPr>
          <w:rFonts w:hint="eastAsia" w:cs="Times New Roman"/>
          <w:bCs/>
          <w:kern w:val="2"/>
          <w:szCs w:val="24"/>
          <w:lang w:val="en-US" w:eastAsia="zh-CN" w:bidi="ar-SA"/>
        </w:rPr>
        <w:t>详细需求说明</w:t>
      </w:r>
      <w:r>
        <w:tab/>
      </w:r>
      <w:r>
        <w:fldChar w:fldCharType="begin"/>
      </w:r>
      <w:r>
        <w:instrText xml:space="preserve"> PAGEREF _Toc23981 \h </w:instrText>
      </w:r>
      <w:r>
        <w:fldChar w:fldCharType="separate"/>
      </w:r>
      <w:r>
        <w:t>- 14 -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_Toc9316 </w:instrText>
      </w:r>
      <w:r>
        <w:rPr>
          <w:rFonts w:asciiTheme="minorEastAsia" w:hAnsiTheme="minorEastAsia" w:eastAsiaTheme="minorEastAsia"/>
          <w:szCs w:val="24"/>
        </w:rPr>
        <w:fldChar w:fldCharType="separate"/>
      </w:r>
      <w:r>
        <w:rPr>
          <w:rFonts w:hint="eastAsia" w:cs="Times New Roman" w:asciiTheme="minorEastAsia" w:hAnsiTheme="minorEastAsia" w:eastAsiaTheme="minorEastAsia"/>
          <w:bCs/>
          <w:kern w:val="2"/>
          <w:szCs w:val="24"/>
          <w:lang w:val="en-US" w:eastAsia="zh-CN" w:bidi="ar-SA"/>
        </w:rPr>
        <w:t>2.4. 审计整改管理</w:t>
      </w:r>
      <w:r>
        <w:tab/>
      </w:r>
      <w:r>
        <w:fldChar w:fldCharType="begin"/>
      </w:r>
      <w:r>
        <w:instrText xml:space="preserve"> PAGEREF _Toc9316 \h </w:instrText>
      </w:r>
      <w:r>
        <w:fldChar w:fldCharType="separate"/>
      </w:r>
      <w:r>
        <w:t>- 18 -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_Toc24584 </w:instrText>
      </w:r>
      <w:r>
        <w:rPr>
          <w:rFonts w:asciiTheme="minorEastAsia" w:hAnsiTheme="minorEastAsia" w:eastAsiaTheme="minorEastAsia"/>
          <w:szCs w:val="24"/>
        </w:rPr>
        <w:fldChar w:fldCharType="separate"/>
      </w:r>
      <w:r>
        <w:rPr>
          <w:rFonts w:hint="eastAsia"/>
        </w:rPr>
        <w:t xml:space="preserve">2.4.1. </w:t>
      </w:r>
      <w:r>
        <w:rPr>
          <w:rFonts w:hint="eastAsia"/>
          <w:lang w:val="en-US" w:eastAsia="zh-CN"/>
        </w:rPr>
        <w:t>业务状况</w:t>
      </w:r>
      <w:r>
        <w:tab/>
      </w:r>
      <w:r>
        <w:fldChar w:fldCharType="begin"/>
      </w:r>
      <w:r>
        <w:instrText xml:space="preserve"> PAGEREF _Toc24584 \h </w:instrText>
      </w:r>
      <w:r>
        <w:fldChar w:fldCharType="separate"/>
      </w:r>
      <w:r>
        <w:t>- 18 -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_Toc3633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2.4.2. </w:t>
      </w:r>
      <w:r>
        <w:rPr>
          <w:rFonts w:hint="eastAsia" w:cs="Times New Roman"/>
          <w:bCs/>
          <w:kern w:val="2"/>
          <w:szCs w:val="24"/>
          <w:lang w:val="en-US" w:eastAsia="zh-CN" w:bidi="ar-SA"/>
        </w:rPr>
        <w:t>业务基本需求</w:t>
      </w:r>
      <w:r>
        <w:tab/>
      </w:r>
      <w:r>
        <w:fldChar w:fldCharType="begin"/>
      </w:r>
      <w:r>
        <w:instrText xml:space="preserve"> PAGEREF _Toc3633 \h </w:instrText>
      </w:r>
      <w:r>
        <w:fldChar w:fldCharType="separate"/>
      </w:r>
      <w:r>
        <w:t>- 19 -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_Toc28457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2.4.3. </w:t>
      </w:r>
      <w:r>
        <w:rPr>
          <w:rFonts w:hint="eastAsia" w:cs="Times New Roman"/>
          <w:bCs/>
          <w:kern w:val="2"/>
          <w:szCs w:val="24"/>
          <w:lang w:val="en-US" w:eastAsia="zh-CN" w:bidi="ar-SA"/>
        </w:rPr>
        <w:t>详细需求说明</w:t>
      </w:r>
      <w:r>
        <w:tab/>
      </w:r>
      <w:r>
        <w:fldChar w:fldCharType="begin"/>
      </w:r>
      <w:r>
        <w:instrText xml:space="preserve"> PAGEREF _Toc28457 \h </w:instrText>
      </w:r>
      <w:r>
        <w:fldChar w:fldCharType="separate"/>
      </w:r>
      <w:r>
        <w:t>- 19 -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_Toc7637 </w:instrText>
      </w:r>
      <w:r>
        <w:rPr>
          <w:rFonts w:asciiTheme="minorEastAsia" w:hAnsiTheme="minorEastAsia" w:eastAsiaTheme="minorEastAsia"/>
          <w:szCs w:val="24"/>
        </w:rPr>
        <w:fldChar w:fldCharType="separate"/>
      </w:r>
      <w:r>
        <w:rPr>
          <w:rFonts w:hint="eastAsia" w:cs="Times New Roman" w:asciiTheme="minorEastAsia" w:hAnsiTheme="minorEastAsia" w:eastAsiaTheme="minorEastAsia"/>
          <w:bCs/>
          <w:kern w:val="2"/>
          <w:szCs w:val="24"/>
          <w:lang w:val="en-US" w:eastAsia="zh-CN" w:bidi="ar-SA"/>
        </w:rPr>
        <w:t>2.5. 审计档案管理</w:t>
      </w:r>
      <w:r>
        <w:tab/>
      </w:r>
      <w:r>
        <w:fldChar w:fldCharType="begin"/>
      </w:r>
      <w:r>
        <w:instrText xml:space="preserve"> PAGEREF _Toc7637 \h </w:instrText>
      </w:r>
      <w:r>
        <w:fldChar w:fldCharType="separate"/>
      </w:r>
      <w:r>
        <w:t>- 20 -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_Toc8520 </w:instrText>
      </w:r>
      <w:r>
        <w:rPr>
          <w:rFonts w:asciiTheme="minorEastAsia" w:hAnsiTheme="minorEastAsia" w:eastAsiaTheme="minorEastAsia"/>
          <w:szCs w:val="24"/>
        </w:rPr>
        <w:fldChar w:fldCharType="separate"/>
      </w:r>
      <w:r>
        <w:rPr>
          <w:rFonts w:hint="eastAsia"/>
        </w:rPr>
        <w:t xml:space="preserve">2.5.1. </w:t>
      </w:r>
      <w:r>
        <w:rPr>
          <w:rFonts w:hint="eastAsia"/>
          <w:lang w:val="en-US" w:eastAsia="zh-CN"/>
        </w:rPr>
        <w:t>业务状况</w:t>
      </w:r>
      <w:r>
        <w:tab/>
      </w:r>
      <w:r>
        <w:fldChar w:fldCharType="begin"/>
      </w:r>
      <w:r>
        <w:instrText xml:space="preserve"> PAGEREF _Toc8520 \h </w:instrText>
      </w:r>
      <w:r>
        <w:fldChar w:fldCharType="separate"/>
      </w:r>
      <w:r>
        <w:t>- 20 -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_Toc7165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2.5.2. </w:t>
      </w:r>
      <w:r>
        <w:rPr>
          <w:rFonts w:hint="eastAsia" w:cs="Times New Roman"/>
          <w:bCs/>
          <w:kern w:val="2"/>
          <w:szCs w:val="24"/>
          <w:lang w:val="en-US" w:eastAsia="zh-CN" w:bidi="ar-SA"/>
        </w:rPr>
        <w:t>业务基本需求</w:t>
      </w:r>
      <w:r>
        <w:tab/>
      </w:r>
      <w:r>
        <w:fldChar w:fldCharType="begin"/>
      </w:r>
      <w:r>
        <w:instrText xml:space="preserve"> PAGEREF _Toc7165 \h </w:instrText>
      </w:r>
      <w:r>
        <w:fldChar w:fldCharType="separate"/>
      </w:r>
      <w:r>
        <w:t>- 21 -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_Toc16995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2.5.3. </w:t>
      </w:r>
      <w:r>
        <w:rPr>
          <w:rFonts w:hint="eastAsia" w:cs="Times New Roman"/>
          <w:bCs/>
          <w:kern w:val="2"/>
          <w:szCs w:val="24"/>
          <w:lang w:val="en-US" w:eastAsia="zh-CN" w:bidi="ar-SA"/>
        </w:rPr>
        <w:t>详细需求说明</w:t>
      </w:r>
      <w:r>
        <w:tab/>
      </w:r>
      <w:r>
        <w:fldChar w:fldCharType="begin"/>
      </w:r>
      <w:r>
        <w:instrText xml:space="preserve"> PAGEREF _Toc16995 \h </w:instrText>
      </w:r>
      <w:r>
        <w:fldChar w:fldCharType="separate"/>
      </w:r>
      <w:r>
        <w:t>- 22 -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_Toc23180 </w:instrText>
      </w:r>
      <w:r>
        <w:rPr>
          <w:rFonts w:asciiTheme="minorEastAsia" w:hAnsiTheme="minorEastAsia" w:eastAsiaTheme="minorEastAsia"/>
          <w:szCs w:val="24"/>
        </w:rPr>
        <w:fldChar w:fldCharType="separate"/>
      </w:r>
      <w:r>
        <w:rPr>
          <w:rFonts w:hint="eastAsia" w:cs="Times New Roman" w:asciiTheme="minorEastAsia" w:hAnsiTheme="minorEastAsia" w:eastAsiaTheme="minorEastAsia"/>
          <w:bCs/>
          <w:kern w:val="2"/>
          <w:szCs w:val="24"/>
          <w:lang w:val="en-US" w:eastAsia="zh-CN" w:bidi="ar-SA"/>
        </w:rPr>
        <w:t>2.6. 内控风险管理</w:t>
      </w:r>
      <w:r>
        <w:tab/>
      </w:r>
      <w:r>
        <w:fldChar w:fldCharType="begin"/>
      </w:r>
      <w:r>
        <w:instrText xml:space="preserve"> PAGEREF _Toc23180 \h </w:instrText>
      </w:r>
      <w:r>
        <w:fldChar w:fldCharType="separate"/>
      </w:r>
      <w:r>
        <w:t>- 23 -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_Toc17201 </w:instrText>
      </w:r>
      <w:r>
        <w:rPr>
          <w:rFonts w:asciiTheme="minorEastAsia" w:hAnsiTheme="minorEastAsia" w:eastAsiaTheme="minorEastAsia"/>
          <w:szCs w:val="24"/>
        </w:rPr>
        <w:fldChar w:fldCharType="separate"/>
      </w:r>
      <w:r>
        <w:rPr>
          <w:rFonts w:hint="eastAsia"/>
        </w:rPr>
        <w:t xml:space="preserve">2.6.1. </w:t>
      </w:r>
      <w:r>
        <w:rPr>
          <w:rFonts w:hint="eastAsia"/>
          <w:lang w:val="en-US" w:eastAsia="zh-CN"/>
        </w:rPr>
        <w:t>违规经营追责管理</w:t>
      </w:r>
      <w:r>
        <w:tab/>
      </w:r>
      <w:r>
        <w:fldChar w:fldCharType="begin"/>
      </w:r>
      <w:r>
        <w:instrText xml:space="preserve"> PAGEREF _Toc17201 \h </w:instrText>
      </w:r>
      <w:r>
        <w:fldChar w:fldCharType="separate"/>
      </w:r>
      <w:r>
        <w:t>- 23 -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_Toc15446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2.6.2. </w:t>
      </w:r>
      <w:r>
        <w:rPr>
          <w:rFonts w:hint="eastAsia" w:cs="Times New Roman"/>
          <w:bCs/>
          <w:kern w:val="2"/>
          <w:szCs w:val="24"/>
          <w:lang w:val="en-US" w:eastAsia="zh-CN" w:bidi="ar-SA"/>
        </w:rPr>
        <w:t>重大经营风险管理</w:t>
      </w:r>
      <w:r>
        <w:tab/>
      </w:r>
      <w:r>
        <w:fldChar w:fldCharType="begin"/>
      </w:r>
      <w:r>
        <w:instrText xml:space="preserve"> PAGEREF _Toc15446 \h </w:instrText>
      </w:r>
      <w:r>
        <w:fldChar w:fldCharType="separate"/>
      </w:r>
      <w:r>
        <w:t>- 23 -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_Toc9310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2.6.3. </w:t>
      </w:r>
      <w:r>
        <w:rPr>
          <w:rFonts w:hint="eastAsia" w:cs="Times New Roman"/>
          <w:bCs/>
          <w:kern w:val="2"/>
          <w:szCs w:val="24"/>
          <w:lang w:val="en-US" w:eastAsia="zh-CN" w:bidi="ar-SA"/>
        </w:rPr>
        <w:t>制度执行自查管理</w:t>
      </w:r>
      <w:r>
        <w:tab/>
      </w:r>
      <w:r>
        <w:fldChar w:fldCharType="begin"/>
      </w:r>
      <w:r>
        <w:instrText xml:space="preserve"> PAGEREF _Toc9310 \h </w:instrText>
      </w:r>
      <w:r>
        <w:fldChar w:fldCharType="separate"/>
      </w:r>
      <w:r>
        <w:t>- 23 -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_Toc27604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2.6.4. </w:t>
      </w:r>
      <w:r>
        <w:rPr>
          <w:rFonts w:hint="eastAsia" w:cs="Times New Roman"/>
          <w:bCs/>
          <w:kern w:val="2"/>
          <w:szCs w:val="24"/>
          <w:lang w:val="en-US" w:eastAsia="zh-CN" w:bidi="ar-SA"/>
        </w:rPr>
        <w:t>风险管理</w:t>
      </w:r>
      <w:r>
        <w:tab/>
      </w:r>
      <w:r>
        <w:fldChar w:fldCharType="begin"/>
      </w:r>
      <w:r>
        <w:instrText xml:space="preserve"> PAGEREF _Toc27604 \h </w:instrText>
      </w:r>
      <w:r>
        <w:fldChar w:fldCharType="separate"/>
      </w:r>
      <w:r>
        <w:t>- 23 -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_Toc26868 </w:instrText>
      </w:r>
      <w:r>
        <w:rPr>
          <w:rFonts w:asciiTheme="minorEastAsia" w:hAnsiTheme="minorEastAsia" w:eastAsiaTheme="minorEastAsia"/>
          <w:szCs w:val="24"/>
        </w:rPr>
        <w:fldChar w:fldCharType="separate"/>
      </w:r>
      <w:r>
        <w:rPr>
          <w:rFonts w:hint="eastAsia" w:cs="Times New Roman" w:asciiTheme="minorEastAsia" w:hAnsiTheme="minorEastAsia" w:eastAsiaTheme="minorEastAsia"/>
          <w:bCs/>
          <w:kern w:val="2"/>
          <w:szCs w:val="24"/>
          <w:lang w:val="en-US" w:eastAsia="zh-CN" w:bidi="ar-SA"/>
        </w:rPr>
        <w:t>2.7. 法务合规管理</w:t>
      </w:r>
      <w:r>
        <w:tab/>
      </w:r>
      <w:r>
        <w:fldChar w:fldCharType="begin"/>
      </w:r>
      <w:r>
        <w:instrText xml:space="preserve"> PAGEREF _Toc26868 \h </w:instrText>
      </w:r>
      <w:r>
        <w:fldChar w:fldCharType="separate"/>
      </w:r>
      <w:r>
        <w:t>- 23 -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_Toc16505 </w:instrText>
      </w:r>
      <w:r>
        <w:rPr>
          <w:rFonts w:asciiTheme="minorEastAsia" w:hAnsiTheme="minorEastAsia" w:eastAsiaTheme="minorEastAsia"/>
          <w:szCs w:val="24"/>
        </w:rPr>
        <w:fldChar w:fldCharType="separate"/>
      </w:r>
      <w:r>
        <w:rPr>
          <w:rFonts w:hint="eastAsia"/>
        </w:rPr>
        <w:t xml:space="preserve">2.7.1. </w:t>
      </w:r>
      <w:r>
        <w:rPr>
          <w:rFonts w:hint="eastAsia"/>
          <w:lang w:val="en-US" w:eastAsia="zh-CN"/>
        </w:rPr>
        <w:t>业务状况</w:t>
      </w:r>
      <w:r>
        <w:tab/>
      </w:r>
      <w:r>
        <w:fldChar w:fldCharType="begin"/>
      </w:r>
      <w:r>
        <w:instrText xml:space="preserve"> PAGEREF _Toc16505 \h </w:instrText>
      </w:r>
      <w:r>
        <w:fldChar w:fldCharType="separate"/>
      </w:r>
      <w:r>
        <w:t>- 23 -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_Toc12524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2.7.2. </w:t>
      </w:r>
      <w:r>
        <w:rPr>
          <w:rFonts w:hint="eastAsia" w:cs="Times New Roman"/>
          <w:bCs/>
          <w:kern w:val="2"/>
          <w:szCs w:val="24"/>
          <w:lang w:val="en-US" w:eastAsia="zh-CN" w:bidi="ar-SA"/>
        </w:rPr>
        <w:t>业务基本需求</w:t>
      </w:r>
      <w:r>
        <w:tab/>
      </w:r>
      <w:r>
        <w:fldChar w:fldCharType="begin"/>
      </w:r>
      <w:r>
        <w:instrText xml:space="preserve"> PAGEREF _Toc12524 \h </w:instrText>
      </w:r>
      <w:r>
        <w:fldChar w:fldCharType="separate"/>
      </w:r>
      <w:r>
        <w:t>- 23 -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_Toc3969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2.7.3. </w:t>
      </w:r>
      <w:r>
        <w:rPr>
          <w:rFonts w:hint="eastAsia" w:cs="Times New Roman"/>
          <w:bCs/>
          <w:kern w:val="2"/>
          <w:szCs w:val="24"/>
          <w:lang w:val="en-US" w:eastAsia="zh-CN" w:bidi="ar-SA"/>
        </w:rPr>
        <w:t>详细需求说明</w:t>
      </w:r>
      <w:r>
        <w:tab/>
      </w:r>
      <w:r>
        <w:fldChar w:fldCharType="begin"/>
      </w:r>
      <w:r>
        <w:instrText xml:space="preserve"> PAGEREF _Toc3969 \h </w:instrText>
      </w:r>
      <w:r>
        <w:fldChar w:fldCharType="separate"/>
      </w:r>
      <w:r>
        <w:t>- 24 -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_Toc25894 </w:instrText>
      </w:r>
      <w:r>
        <w:rPr>
          <w:rFonts w:asciiTheme="minorEastAsia" w:hAnsiTheme="minorEastAsia" w:eastAsiaTheme="minorEastAsia"/>
          <w:szCs w:val="24"/>
        </w:rPr>
        <w:fldChar w:fldCharType="separate"/>
      </w:r>
      <w:r>
        <w:rPr>
          <w:rFonts w:hint="eastAsia" w:cs="Times New Roman" w:asciiTheme="minorEastAsia" w:hAnsiTheme="minorEastAsia" w:eastAsiaTheme="minorEastAsia"/>
          <w:bCs/>
          <w:kern w:val="2"/>
          <w:szCs w:val="24"/>
          <w:lang w:val="en-US" w:eastAsia="zh-CN" w:bidi="ar-SA"/>
        </w:rPr>
        <w:t>2.8. 监事会监督管理</w:t>
      </w:r>
      <w:r>
        <w:tab/>
      </w:r>
      <w:r>
        <w:fldChar w:fldCharType="begin"/>
      </w:r>
      <w:r>
        <w:instrText xml:space="preserve"> PAGEREF _Toc25894 \h </w:instrText>
      </w:r>
      <w:r>
        <w:fldChar w:fldCharType="separate"/>
      </w:r>
      <w:r>
        <w:t>- 25 -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_Toc19577 </w:instrText>
      </w:r>
      <w:r>
        <w:rPr>
          <w:rFonts w:asciiTheme="minorEastAsia" w:hAnsiTheme="minorEastAsia" w:eastAsiaTheme="minorEastAsia"/>
          <w:szCs w:val="24"/>
        </w:rPr>
        <w:fldChar w:fldCharType="separate"/>
      </w:r>
      <w:r>
        <w:rPr>
          <w:rFonts w:hint="eastAsia"/>
        </w:rPr>
        <w:t xml:space="preserve">2.8.1. </w:t>
      </w:r>
      <w:r>
        <w:rPr>
          <w:rFonts w:hint="eastAsia"/>
          <w:lang w:val="en-US" w:eastAsia="zh-CN"/>
        </w:rPr>
        <w:t>业务状况</w:t>
      </w:r>
      <w:r>
        <w:tab/>
      </w:r>
      <w:r>
        <w:fldChar w:fldCharType="begin"/>
      </w:r>
      <w:r>
        <w:instrText xml:space="preserve"> PAGEREF _Toc19577 \h </w:instrText>
      </w:r>
      <w:r>
        <w:fldChar w:fldCharType="separate"/>
      </w:r>
      <w:r>
        <w:t>- 25 -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_Toc26729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2.8.2. </w:t>
      </w:r>
      <w:r>
        <w:rPr>
          <w:rFonts w:hint="eastAsia" w:cs="Times New Roman"/>
          <w:bCs/>
          <w:kern w:val="2"/>
          <w:szCs w:val="24"/>
          <w:lang w:val="en-US" w:eastAsia="zh-CN" w:bidi="ar-SA"/>
        </w:rPr>
        <w:t>业务基本需求</w:t>
      </w:r>
      <w:r>
        <w:tab/>
      </w:r>
      <w:r>
        <w:fldChar w:fldCharType="begin"/>
      </w:r>
      <w:r>
        <w:instrText xml:space="preserve"> PAGEREF _Toc26729 \h </w:instrText>
      </w:r>
      <w:r>
        <w:fldChar w:fldCharType="separate"/>
      </w:r>
      <w:r>
        <w:t>- 25 -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_Toc16084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2.8.3. </w:t>
      </w:r>
      <w:r>
        <w:rPr>
          <w:rFonts w:hint="eastAsia" w:cs="Times New Roman"/>
          <w:bCs/>
          <w:kern w:val="2"/>
          <w:szCs w:val="24"/>
          <w:lang w:val="en-US" w:eastAsia="zh-CN" w:bidi="ar-SA"/>
        </w:rPr>
        <w:t>详细需求说明</w:t>
      </w:r>
      <w:r>
        <w:tab/>
      </w:r>
      <w:r>
        <w:fldChar w:fldCharType="begin"/>
      </w:r>
      <w:r>
        <w:instrText xml:space="preserve"> PAGEREF _Toc16084 \h </w:instrText>
      </w:r>
      <w:r>
        <w:fldChar w:fldCharType="separate"/>
      </w:r>
      <w:r>
        <w:t>- 26 -</w:t>
      </w:r>
      <w:r>
        <w:fldChar w:fldCharType="end"/>
      </w:r>
      <w:r>
        <w:rPr>
          <w:rFonts w:asciiTheme="minorEastAsia" w:hAnsiTheme="minorEastAsia" w:eastAsiaTheme="minorEastAsia"/>
          <w:szCs w:val="24"/>
        </w:rPr>
        <w:fldChar w:fldCharType="end"/>
      </w:r>
    </w:p>
    <w:p>
      <w:pPr>
        <w:pStyle w:val="25"/>
        <w:tabs>
          <w:tab w:val="right" w:leader="dot" w:pos="8788"/>
          <w:tab w:val="clear" w:pos="8302"/>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_Toc7444 </w:instrText>
      </w:r>
      <w:r>
        <w:rPr>
          <w:rFonts w:asciiTheme="minorEastAsia" w:hAnsiTheme="minorEastAsia" w:eastAsiaTheme="minorEastAsia"/>
          <w:szCs w:val="24"/>
        </w:rPr>
        <w:fldChar w:fldCharType="separate"/>
      </w:r>
      <w:r>
        <w:rPr>
          <w:rFonts w:hint="eastAsia"/>
        </w:rPr>
        <w:t>3. 功能需求分析</w:t>
      </w:r>
      <w:r>
        <w:tab/>
      </w:r>
      <w:r>
        <w:fldChar w:fldCharType="begin"/>
      </w:r>
      <w:r>
        <w:instrText xml:space="preserve"> PAGEREF _Toc7444 \h </w:instrText>
      </w:r>
      <w:r>
        <w:fldChar w:fldCharType="separate"/>
      </w:r>
      <w:r>
        <w:t>- 30 -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_Toc32063 </w:instrText>
      </w:r>
      <w:r>
        <w:rPr>
          <w:rFonts w:asciiTheme="minorEastAsia" w:hAnsiTheme="minorEastAsia" w:eastAsiaTheme="minorEastAsia"/>
          <w:szCs w:val="24"/>
        </w:rPr>
        <w:fldChar w:fldCharType="separate"/>
      </w:r>
      <w:r>
        <w:rPr>
          <w:rFonts w:hint="eastAsia" w:asciiTheme="minorEastAsia" w:hAnsiTheme="minorEastAsia" w:eastAsiaTheme="minorEastAsia"/>
          <w:szCs w:val="24"/>
        </w:rPr>
        <w:t xml:space="preserve">3.1. </w:t>
      </w:r>
      <w:r>
        <w:rPr>
          <w:rFonts w:hint="eastAsia" w:asciiTheme="minorEastAsia" w:hAnsiTheme="minorEastAsia" w:eastAsiaTheme="minorEastAsia"/>
          <w:szCs w:val="24"/>
          <w:lang w:val="en-US" w:eastAsia="zh-CN"/>
        </w:rPr>
        <w:t>审计资源管理</w:t>
      </w:r>
      <w:r>
        <w:tab/>
      </w:r>
      <w:r>
        <w:fldChar w:fldCharType="begin"/>
      </w:r>
      <w:r>
        <w:instrText xml:space="preserve"> PAGEREF _Toc32063 \h </w:instrText>
      </w:r>
      <w:r>
        <w:fldChar w:fldCharType="separate"/>
      </w:r>
      <w:r>
        <w:t>- 30 -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_Toc19880 </w:instrText>
      </w:r>
      <w:r>
        <w:rPr>
          <w:rFonts w:asciiTheme="minorEastAsia" w:hAnsiTheme="minorEastAsia" w:eastAsiaTheme="minorEastAsia"/>
          <w:szCs w:val="24"/>
        </w:rPr>
        <w:fldChar w:fldCharType="separate"/>
      </w:r>
      <w:r>
        <w:rPr>
          <w:rFonts w:hint="eastAsia"/>
        </w:rPr>
        <w:t xml:space="preserve">3.1.1. </w:t>
      </w:r>
      <w:r>
        <w:rPr>
          <w:rFonts w:hint="eastAsia"/>
          <w:lang w:val="en-US" w:eastAsia="zh-CN"/>
        </w:rPr>
        <w:t>功能描述</w:t>
      </w:r>
      <w:r>
        <w:tab/>
      </w:r>
      <w:r>
        <w:fldChar w:fldCharType="begin"/>
      </w:r>
      <w:r>
        <w:instrText xml:space="preserve"> PAGEREF _Toc19880 \h </w:instrText>
      </w:r>
      <w:r>
        <w:fldChar w:fldCharType="separate"/>
      </w:r>
      <w:r>
        <w:t>- 30 -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_Toc9374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3.1.2. </w:t>
      </w:r>
      <w:r>
        <w:rPr>
          <w:rFonts w:hint="eastAsia" w:cs="Times New Roman"/>
          <w:bCs/>
          <w:kern w:val="2"/>
          <w:szCs w:val="24"/>
          <w:lang w:val="en-US" w:eastAsia="zh-CN" w:bidi="ar-SA"/>
        </w:rPr>
        <w:t>数据需求</w:t>
      </w:r>
      <w:r>
        <w:tab/>
      </w:r>
      <w:r>
        <w:fldChar w:fldCharType="begin"/>
      </w:r>
      <w:r>
        <w:instrText xml:space="preserve"> PAGEREF _Toc9374 \h </w:instrText>
      </w:r>
      <w:r>
        <w:fldChar w:fldCharType="separate"/>
      </w:r>
      <w:r>
        <w:t>- 30 -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_Toc13911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3.1.3. </w:t>
      </w:r>
      <w:r>
        <w:rPr>
          <w:rFonts w:hint="eastAsia" w:cs="Times New Roman"/>
          <w:bCs/>
          <w:kern w:val="2"/>
          <w:szCs w:val="24"/>
          <w:lang w:val="en-US" w:eastAsia="zh-CN" w:bidi="ar-SA"/>
        </w:rPr>
        <w:t>权限需求</w:t>
      </w:r>
      <w:r>
        <w:tab/>
      </w:r>
      <w:r>
        <w:fldChar w:fldCharType="begin"/>
      </w:r>
      <w:r>
        <w:instrText xml:space="preserve"> PAGEREF _Toc13911 \h </w:instrText>
      </w:r>
      <w:r>
        <w:fldChar w:fldCharType="separate"/>
      </w:r>
      <w:r>
        <w:t>- 31 -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_Toc12239 </w:instrText>
      </w:r>
      <w:r>
        <w:rPr>
          <w:rFonts w:asciiTheme="minorEastAsia" w:hAnsiTheme="minorEastAsia" w:eastAsiaTheme="minorEastAsia"/>
          <w:szCs w:val="24"/>
        </w:rPr>
        <w:fldChar w:fldCharType="separate"/>
      </w:r>
      <w:r>
        <w:rPr>
          <w:rFonts w:hint="eastAsia" w:cs="Times New Roman" w:asciiTheme="minorEastAsia" w:hAnsiTheme="minorEastAsia" w:eastAsiaTheme="minorEastAsia"/>
          <w:bCs/>
          <w:kern w:val="2"/>
          <w:szCs w:val="24"/>
          <w:lang w:val="en-US" w:eastAsia="zh-CN" w:bidi="ar-SA"/>
        </w:rPr>
        <w:t>3.2. 审计计划管理</w:t>
      </w:r>
      <w:r>
        <w:tab/>
      </w:r>
      <w:r>
        <w:fldChar w:fldCharType="begin"/>
      </w:r>
      <w:r>
        <w:instrText xml:space="preserve"> PAGEREF _Toc12239 \h </w:instrText>
      </w:r>
      <w:r>
        <w:fldChar w:fldCharType="separate"/>
      </w:r>
      <w:r>
        <w:t>- 31 -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_Toc8238 </w:instrText>
      </w:r>
      <w:r>
        <w:rPr>
          <w:rFonts w:asciiTheme="minorEastAsia" w:hAnsiTheme="minorEastAsia" w:eastAsiaTheme="minorEastAsia"/>
          <w:szCs w:val="24"/>
        </w:rPr>
        <w:fldChar w:fldCharType="separate"/>
      </w:r>
      <w:r>
        <w:rPr>
          <w:rFonts w:hint="eastAsia"/>
        </w:rPr>
        <w:t xml:space="preserve">3.2.1. </w:t>
      </w:r>
      <w:r>
        <w:rPr>
          <w:rFonts w:hint="eastAsia"/>
          <w:lang w:val="en-US" w:eastAsia="zh-CN"/>
        </w:rPr>
        <w:t>功能描述</w:t>
      </w:r>
      <w:r>
        <w:tab/>
      </w:r>
      <w:r>
        <w:fldChar w:fldCharType="begin"/>
      </w:r>
      <w:r>
        <w:instrText xml:space="preserve"> PAGEREF _Toc8238 \h </w:instrText>
      </w:r>
      <w:r>
        <w:fldChar w:fldCharType="separate"/>
      </w:r>
      <w:r>
        <w:t>- 31 -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_Toc16040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3.2.2. </w:t>
      </w:r>
      <w:r>
        <w:rPr>
          <w:rFonts w:hint="eastAsia" w:cs="Times New Roman"/>
          <w:bCs/>
          <w:kern w:val="2"/>
          <w:szCs w:val="24"/>
          <w:lang w:val="en-US" w:eastAsia="zh-CN" w:bidi="ar-SA"/>
        </w:rPr>
        <w:t>数据需求</w:t>
      </w:r>
      <w:r>
        <w:tab/>
      </w:r>
      <w:r>
        <w:fldChar w:fldCharType="begin"/>
      </w:r>
      <w:r>
        <w:instrText xml:space="preserve"> PAGEREF _Toc16040 \h </w:instrText>
      </w:r>
      <w:r>
        <w:fldChar w:fldCharType="separate"/>
      </w:r>
      <w:r>
        <w:t>- 31 -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_Toc17064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3.2.3. </w:t>
      </w:r>
      <w:r>
        <w:rPr>
          <w:rFonts w:hint="eastAsia" w:cs="Times New Roman"/>
          <w:bCs/>
          <w:kern w:val="2"/>
          <w:szCs w:val="24"/>
          <w:lang w:val="en-US" w:eastAsia="zh-CN" w:bidi="ar-SA"/>
        </w:rPr>
        <w:t>权限需求</w:t>
      </w:r>
      <w:r>
        <w:tab/>
      </w:r>
      <w:r>
        <w:fldChar w:fldCharType="begin"/>
      </w:r>
      <w:r>
        <w:instrText xml:space="preserve"> PAGEREF _Toc17064 \h </w:instrText>
      </w:r>
      <w:r>
        <w:fldChar w:fldCharType="separate"/>
      </w:r>
      <w:r>
        <w:t>- 32 -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_Toc19918 </w:instrText>
      </w:r>
      <w:r>
        <w:rPr>
          <w:rFonts w:asciiTheme="minorEastAsia" w:hAnsiTheme="minorEastAsia" w:eastAsiaTheme="minorEastAsia"/>
          <w:szCs w:val="24"/>
        </w:rPr>
        <w:fldChar w:fldCharType="separate"/>
      </w:r>
      <w:r>
        <w:rPr>
          <w:rFonts w:hint="eastAsia" w:cs="Times New Roman" w:asciiTheme="minorEastAsia" w:hAnsiTheme="minorEastAsia" w:eastAsiaTheme="minorEastAsia"/>
          <w:bCs/>
          <w:kern w:val="2"/>
          <w:szCs w:val="24"/>
          <w:lang w:val="en-US" w:eastAsia="zh-CN" w:bidi="ar-SA"/>
        </w:rPr>
        <w:t>3.3. 审计项目管理</w:t>
      </w:r>
      <w:r>
        <w:tab/>
      </w:r>
      <w:r>
        <w:fldChar w:fldCharType="begin"/>
      </w:r>
      <w:r>
        <w:instrText xml:space="preserve"> PAGEREF _Toc19918 \h </w:instrText>
      </w:r>
      <w:r>
        <w:fldChar w:fldCharType="separate"/>
      </w:r>
      <w:r>
        <w:t>- 33 -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_Toc1694 </w:instrText>
      </w:r>
      <w:r>
        <w:rPr>
          <w:rFonts w:asciiTheme="minorEastAsia" w:hAnsiTheme="minorEastAsia" w:eastAsiaTheme="minorEastAsia"/>
          <w:szCs w:val="24"/>
        </w:rPr>
        <w:fldChar w:fldCharType="separate"/>
      </w:r>
      <w:r>
        <w:rPr>
          <w:rFonts w:hint="eastAsia"/>
        </w:rPr>
        <w:t xml:space="preserve">3.3.1. </w:t>
      </w:r>
      <w:r>
        <w:rPr>
          <w:rFonts w:hint="eastAsia"/>
          <w:lang w:val="en-US" w:eastAsia="zh-CN"/>
        </w:rPr>
        <w:t>功能描述</w:t>
      </w:r>
      <w:r>
        <w:tab/>
      </w:r>
      <w:r>
        <w:fldChar w:fldCharType="begin"/>
      </w:r>
      <w:r>
        <w:instrText xml:space="preserve"> PAGEREF _Toc1694 \h </w:instrText>
      </w:r>
      <w:r>
        <w:fldChar w:fldCharType="separate"/>
      </w:r>
      <w:r>
        <w:t>- 33 -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_Toc11859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3.3.2. </w:t>
      </w:r>
      <w:r>
        <w:rPr>
          <w:rFonts w:hint="eastAsia" w:cs="Times New Roman"/>
          <w:bCs/>
          <w:kern w:val="2"/>
          <w:szCs w:val="24"/>
          <w:lang w:val="en-US" w:eastAsia="zh-CN" w:bidi="ar-SA"/>
        </w:rPr>
        <w:t>数据需求</w:t>
      </w:r>
      <w:r>
        <w:tab/>
      </w:r>
      <w:r>
        <w:fldChar w:fldCharType="begin"/>
      </w:r>
      <w:r>
        <w:instrText xml:space="preserve"> PAGEREF _Toc11859 \h </w:instrText>
      </w:r>
      <w:r>
        <w:fldChar w:fldCharType="separate"/>
      </w:r>
      <w:r>
        <w:t>- 35 -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_Toc24053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3.3.3. </w:t>
      </w:r>
      <w:r>
        <w:rPr>
          <w:rFonts w:hint="eastAsia" w:cs="Times New Roman"/>
          <w:bCs/>
          <w:kern w:val="2"/>
          <w:szCs w:val="24"/>
          <w:lang w:val="en-US" w:eastAsia="zh-CN" w:bidi="ar-SA"/>
        </w:rPr>
        <w:t>权限需求</w:t>
      </w:r>
      <w:r>
        <w:tab/>
      </w:r>
      <w:r>
        <w:fldChar w:fldCharType="begin"/>
      </w:r>
      <w:r>
        <w:instrText xml:space="preserve"> PAGEREF _Toc24053 \h </w:instrText>
      </w:r>
      <w:r>
        <w:fldChar w:fldCharType="separate"/>
      </w:r>
      <w:r>
        <w:t>- 37 -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_Toc17217 </w:instrText>
      </w:r>
      <w:r>
        <w:rPr>
          <w:rFonts w:asciiTheme="minorEastAsia" w:hAnsiTheme="minorEastAsia" w:eastAsiaTheme="minorEastAsia"/>
          <w:szCs w:val="24"/>
        </w:rPr>
        <w:fldChar w:fldCharType="separate"/>
      </w:r>
      <w:r>
        <w:rPr>
          <w:rFonts w:hint="eastAsia" w:cs="Times New Roman" w:asciiTheme="minorEastAsia" w:hAnsiTheme="minorEastAsia" w:eastAsiaTheme="minorEastAsia"/>
          <w:bCs/>
          <w:kern w:val="2"/>
          <w:szCs w:val="24"/>
          <w:lang w:val="en-US" w:eastAsia="zh-CN" w:bidi="ar-SA"/>
        </w:rPr>
        <w:t>3.4. 审计整改管理</w:t>
      </w:r>
      <w:r>
        <w:tab/>
      </w:r>
      <w:r>
        <w:fldChar w:fldCharType="begin"/>
      </w:r>
      <w:r>
        <w:instrText xml:space="preserve"> PAGEREF _Toc17217 \h </w:instrText>
      </w:r>
      <w:r>
        <w:fldChar w:fldCharType="separate"/>
      </w:r>
      <w:r>
        <w:t>- 37 -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_Toc15733 </w:instrText>
      </w:r>
      <w:r>
        <w:rPr>
          <w:rFonts w:asciiTheme="minorEastAsia" w:hAnsiTheme="minorEastAsia" w:eastAsiaTheme="minorEastAsia"/>
          <w:szCs w:val="24"/>
        </w:rPr>
        <w:fldChar w:fldCharType="separate"/>
      </w:r>
      <w:r>
        <w:rPr>
          <w:rFonts w:hint="eastAsia"/>
        </w:rPr>
        <w:t xml:space="preserve">3.4.1. </w:t>
      </w:r>
      <w:r>
        <w:rPr>
          <w:rFonts w:hint="eastAsia"/>
          <w:lang w:val="en-US" w:eastAsia="zh-CN"/>
        </w:rPr>
        <w:t>功能描述</w:t>
      </w:r>
      <w:r>
        <w:tab/>
      </w:r>
      <w:r>
        <w:fldChar w:fldCharType="begin"/>
      </w:r>
      <w:r>
        <w:instrText xml:space="preserve"> PAGEREF _Toc15733 \h </w:instrText>
      </w:r>
      <w:r>
        <w:fldChar w:fldCharType="separate"/>
      </w:r>
      <w:r>
        <w:t>- 37 -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_Toc31868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3.4.2. </w:t>
      </w:r>
      <w:r>
        <w:rPr>
          <w:rFonts w:hint="eastAsia" w:cs="Times New Roman"/>
          <w:bCs/>
          <w:kern w:val="2"/>
          <w:szCs w:val="24"/>
          <w:lang w:val="en-US" w:eastAsia="zh-CN" w:bidi="ar-SA"/>
        </w:rPr>
        <w:t>数据需求</w:t>
      </w:r>
      <w:r>
        <w:tab/>
      </w:r>
      <w:r>
        <w:fldChar w:fldCharType="begin"/>
      </w:r>
      <w:r>
        <w:instrText xml:space="preserve"> PAGEREF _Toc31868 \h </w:instrText>
      </w:r>
      <w:r>
        <w:fldChar w:fldCharType="separate"/>
      </w:r>
      <w:r>
        <w:t>- 37 -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_Toc29364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3.4.3. </w:t>
      </w:r>
      <w:r>
        <w:rPr>
          <w:rFonts w:hint="eastAsia" w:cs="Times New Roman"/>
          <w:bCs/>
          <w:kern w:val="2"/>
          <w:szCs w:val="24"/>
          <w:lang w:val="en-US" w:eastAsia="zh-CN" w:bidi="ar-SA"/>
        </w:rPr>
        <w:t>权限需求</w:t>
      </w:r>
      <w:r>
        <w:tab/>
      </w:r>
      <w:r>
        <w:fldChar w:fldCharType="begin"/>
      </w:r>
      <w:r>
        <w:instrText xml:space="preserve"> PAGEREF _Toc29364 \h </w:instrText>
      </w:r>
      <w:r>
        <w:fldChar w:fldCharType="separate"/>
      </w:r>
      <w:r>
        <w:t>- 39 -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_Toc408 </w:instrText>
      </w:r>
      <w:r>
        <w:rPr>
          <w:rFonts w:asciiTheme="minorEastAsia" w:hAnsiTheme="minorEastAsia" w:eastAsiaTheme="minorEastAsia"/>
          <w:szCs w:val="24"/>
        </w:rPr>
        <w:fldChar w:fldCharType="separate"/>
      </w:r>
      <w:r>
        <w:rPr>
          <w:rFonts w:hint="eastAsia" w:cs="Times New Roman" w:asciiTheme="minorEastAsia" w:hAnsiTheme="minorEastAsia" w:eastAsiaTheme="minorEastAsia"/>
          <w:bCs/>
          <w:kern w:val="2"/>
          <w:szCs w:val="24"/>
          <w:lang w:val="en-US" w:eastAsia="zh-CN" w:bidi="ar-SA"/>
        </w:rPr>
        <w:t>3.5. 审计档案管理</w:t>
      </w:r>
      <w:r>
        <w:tab/>
      </w:r>
      <w:r>
        <w:fldChar w:fldCharType="begin"/>
      </w:r>
      <w:r>
        <w:instrText xml:space="preserve"> PAGEREF _Toc408 \h </w:instrText>
      </w:r>
      <w:r>
        <w:fldChar w:fldCharType="separate"/>
      </w:r>
      <w:r>
        <w:t>- 40 -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_Toc7671 </w:instrText>
      </w:r>
      <w:r>
        <w:rPr>
          <w:rFonts w:asciiTheme="minorEastAsia" w:hAnsiTheme="minorEastAsia" w:eastAsiaTheme="minorEastAsia"/>
          <w:szCs w:val="24"/>
        </w:rPr>
        <w:fldChar w:fldCharType="separate"/>
      </w:r>
      <w:r>
        <w:rPr>
          <w:rFonts w:hint="eastAsia"/>
        </w:rPr>
        <w:t xml:space="preserve">3.5.1. </w:t>
      </w:r>
      <w:r>
        <w:rPr>
          <w:rFonts w:hint="eastAsia"/>
          <w:lang w:val="en-US" w:eastAsia="zh-CN"/>
        </w:rPr>
        <w:t>功能描述</w:t>
      </w:r>
      <w:r>
        <w:tab/>
      </w:r>
      <w:r>
        <w:fldChar w:fldCharType="begin"/>
      </w:r>
      <w:r>
        <w:instrText xml:space="preserve"> PAGEREF _Toc7671 \h </w:instrText>
      </w:r>
      <w:r>
        <w:fldChar w:fldCharType="separate"/>
      </w:r>
      <w:r>
        <w:t>- 40 -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_Toc21666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3.5.2. </w:t>
      </w:r>
      <w:r>
        <w:rPr>
          <w:rFonts w:hint="eastAsia" w:cs="Times New Roman"/>
          <w:bCs/>
          <w:kern w:val="2"/>
          <w:szCs w:val="24"/>
          <w:lang w:val="en-US" w:eastAsia="zh-CN" w:bidi="ar-SA"/>
        </w:rPr>
        <w:t>数据需求</w:t>
      </w:r>
      <w:r>
        <w:tab/>
      </w:r>
      <w:r>
        <w:fldChar w:fldCharType="begin"/>
      </w:r>
      <w:r>
        <w:instrText xml:space="preserve"> PAGEREF _Toc21666 \h </w:instrText>
      </w:r>
      <w:r>
        <w:fldChar w:fldCharType="separate"/>
      </w:r>
      <w:r>
        <w:t>- 40 -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_Toc6263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3.5.3. </w:t>
      </w:r>
      <w:r>
        <w:rPr>
          <w:rFonts w:hint="eastAsia" w:cs="Times New Roman"/>
          <w:bCs/>
          <w:kern w:val="2"/>
          <w:szCs w:val="24"/>
          <w:lang w:val="en-US" w:eastAsia="zh-CN" w:bidi="ar-SA"/>
        </w:rPr>
        <w:t>权限需求</w:t>
      </w:r>
      <w:r>
        <w:tab/>
      </w:r>
      <w:r>
        <w:fldChar w:fldCharType="begin"/>
      </w:r>
      <w:r>
        <w:instrText xml:space="preserve"> PAGEREF _Toc6263 \h </w:instrText>
      </w:r>
      <w:r>
        <w:fldChar w:fldCharType="separate"/>
      </w:r>
      <w:r>
        <w:t>- 41 -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_Toc13291 </w:instrText>
      </w:r>
      <w:r>
        <w:rPr>
          <w:rFonts w:asciiTheme="minorEastAsia" w:hAnsiTheme="minorEastAsia" w:eastAsiaTheme="minorEastAsia"/>
          <w:szCs w:val="24"/>
        </w:rPr>
        <w:fldChar w:fldCharType="separate"/>
      </w:r>
      <w:r>
        <w:rPr>
          <w:rFonts w:hint="eastAsia" w:cs="Times New Roman" w:asciiTheme="minorEastAsia" w:hAnsiTheme="minorEastAsia" w:eastAsiaTheme="minorEastAsia"/>
          <w:bCs/>
          <w:kern w:val="2"/>
          <w:szCs w:val="24"/>
          <w:lang w:val="en-US" w:eastAsia="zh-CN" w:bidi="ar-SA"/>
        </w:rPr>
        <w:t>3.6. 内控风险管理</w:t>
      </w:r>
      <w:r>
        <w:tab/>
      </w:r>
      <w:r>
        <w:fldChar w:fldCharType="begin"/>
      </w:r>
      <w:r>
        <w:instrText xml:space="preserve"> PAGEREF _Toc13291 \h </w:instrText>
      </w:r>
      <w:r>
        <w:fldChar w:fldCharType="separate"/>
      </w:r>
      <w:r>
        <w:t>- 41 -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_Toc4458 </w:instrText>
      </w:r>
      <w:r>
        <w:rPr>
          <w:rFonts w:asciiTheme="minorEastAsia" w:hAnsiTheme="minorEastAsia" w:eastAsiaTheme="minorEastAsia"/>
          <w:szCs w:val="24"/>
        </w:rPr>
        <w:fldChar w:fldCharType="separate"/>
      </w:r>
      <w:r>
        <w:rPr>
          <w:rFonts w:hint="eastAsia" w:cs="Times New Roman" w:asciiTheme="minorEastAsia" w:hAnsiTheme="minorEastAsia" w:eastAsiaTheme="minorEastAsia"/>
          <w:bCs/>
          <w:kern w:val="2"/>
          <w:szCs w:val="24"/>
          <w:lang w:val="en-US" w:eastAsia="zh-CN" w:bidi="ar-SA"/>
        </w:rPr>
        <w:t>3.7. 法务法规管理</w:t>
      </w:r>
      <w:r>
        <w:tab/>
      </w:r>
      <w:r>
        <w:fldChar w:fldCharType="begin"/>
      </w:r>
      <w:r>
        <w:instrText xml:space="preserve"> PAGEREF _Toc4458 \h </w:instrText>
      </w:r>
      <w:r>
        <w:fldChar w:fldCharType="separate"/>
      </w:r>
      <w:r>
        <w:t>- 41 -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_Toc31563 </w:instrText>
      </w:r>
      <w:r>
        <w:rPr>
          <w:rFonts w:asciiTheme="minorEastAsia" w:hAnsiTheme="minorEastAsia" w:eastAsiaTheme="minorEastAsia"/>
          <w:szCs w:val="24"/>
        </w:rPr>
        <w:fldChar w:fldCharType="separate"/>
      </w:r>
      <w:r>
        <w:rPr>
          <w:rFonts w:hint="eastAsia"/>
        </w:rPr>
        <w:t xml:space="preserve">3.7.1. </w:t>
      </w:r>
      <w:r>
        <w:rPr>
          <w:rFonts w:hint="eastAsia"/>
          <w:lang w:val="en-US" w:eastAsia="zh-CN"/>
        </w:rPr>
        <w:t>案件纠纷管理</w:t>
      </w:r>
      <w:r>
        <w:tab/>
      </w:r>
      <w:r>
        <w:fldChar w:fldCharType="begin"/>
      </w:r>
      <w:r>
        <w:instrText xml:space="preserve"> PAGEREF _Toc31563 \h </w:instrText>
      </w:r>
      <w:r>
        <w:fldChar w:fldCharType="separate"/>
      </w:r>
      <w:r>
        <w:t>- 41 -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_Toc16576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3.7.2. </w:t>
      </w:r>
      <w:r>
        <w:rPr>
          <w:rFonts w:hint="eastAsia" w:cs="Times New Roman"/>
          <w:bCs/>
          <w:kern w:val="2"/>
          <w:szCs w:val="24"/>
          <w:lang w:val="en-US" w:eastAsia="zh-CN" w:bidi="ar-SA"/>
        </w:rPr>
        <w:t>合规管理</w:t>
      </w:r>
      <w:r>
        <w:tab/>
      </w:r>
      <w:r>
        <w:fldChar w:fldCharType="begin"/>
      </w:r>
      <w:r>
        <w:instrText xml:space="preserve"> PAGEREF _Toc16576 \h </w:instrText>
      </w:r>
      <w:r>
        <w:fldChar w:fldCharType="separate"/>
      </w:r>
      <w:r>
        <w:t>- 42 -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_Toc2179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3.7.3. </w:t>
      </w:r>
      <w:r>
        <w:rPr>
          <w:rFonts w:hint="eastAsia" w:cs="Times New Roman"/>
          <w:bCs/>
          <w:kern w:val="2"/>
          <w:szCs w:val="24"/>
          <w:lang w:val="en-US" w:eastAsia="zh-CN" w:bidi="ar-SA"/>
        </w:rPr>
        <w:t>法务资源管理</w:t>
      </w:r>
      <w:r>
        <w:tab/>
      </w:r>
      <w:r>
        <w:fldChar w:fldCharType="begin"/>
      </w:r>
      <w:r>
        <w:instrText xml:space="preserve"> PAGEREF _Toc2179 \h </w:instrText>
      </w:r>
      <w:r>
        <w:fldChar w:fldCharType="separate"/>
      </w:r>
      <w:r>
        <w:t>- 42 -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_Toc17537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3.7.4. </w:t>
      </w:r>
      <w:r>
        <w:rPr>
          <w:rFonts w:hint="eastAsia" w:cs="Times New Roman"/>
          <w:bCs/>
          <w:kern w:val="2"/>
          <w:szCs w:val="24"/>
          <w:lang w:val="en-US" w:eastAsia="zh-CN" w:bidi="ar-SA"/>
        </w:rPr>
        <w:t>法务知识管理</w:t>
      </w:r>
      <w:r>
        <w:tab/>
      </w:r>
      <w:r>
        <w:fldChar w:fldCharType="begin"/>
      </w:r>
      <w:r>
        <w:instrText xml:space="preserve"> PAGEREF _Toc17537 \h </w:instrText>
      </w:r>
      <w:r>
        <w:fldChar w:fldCharType="separate"/>
      </w:r>
      <w:r>
        <w:t>- 42 -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_Toc931 </w:instrText>
      </w:r>
      <w:r>
        <w:rPr>
          <w:rFonts w:asciiTheme="minorEastAsia" w:hAnsiTheme="minorEastAsia" w:eastAsiaTheme="minorEastAsia"/>
          <w:szCs w:val="24"/>
        </w:rPr>
        <w:fldChar w:fldCharType="separate"/>
      </w:r>
      <w:r>
        <w:rPr>
          <w:rFonts w:hint="eastAsia" w:cs="Times New Roman" w:asciiTheme="minorEastAsia" w:hAnsiTheme="minorEastAsia" w:eastAsiaTheme="minorEastAsia"/>
          <w:bCs/>
          <w:kern w:val="2"/>
          <w:szCs w:val="24"/>
          <w:lang w:val="en-US" w:eastAsia="zh-CN" w:bidi="ar-SA"/>
        </w:rPr>
        <w:t>3.8. 监事会监督管理</w:t>
      </w:r>
      <w:r>
        <w:tab/>
      </w:r>
      <w:r>
        <w:fldChar w:fldCharType="begin"/>
      </w:r>
      <w:r>
        <w:instrText xml:space="preserve"> PAGEREF _Toc931 \h </w:instrText>
      </w:r>
      <w:r>
        <w:fldChar w:fldCharType="separate"/>
      </w:r>
      <w:r>
        <w:t>- 42 -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_Toc9751 </w:instrText>
      </w:r>
      <w:r>
        <w:rPr>
          <w:rFonts w:asciiTheme="minorEastAsia" w:hAnsiTheme="minorEastAsia" w:eastAsiaTheme="minorEastAsia"/>
          <w:szCs w:val="24"/>
        </w:rPr>
        <w:fldChar w:fldCharType="separate"/>
      </w:r>
      <w:r>
        <w:rPr>
          <w:rFonts w:hint="eastAsia"/>
        </w:rPr>
        <w:t xml:space="preserve">3.8.1. </w:t>
      </w:r>
      <w:r>
        <w:rPr>
          <w:rFonts w:hint="eastAsia"/>
          <w:lang w:val="en-US" w:eastAsia="zh-CN"/>
        </w:rPr>
        <w:t>功能描述</w:t>
      </w:r>
      <w:r>
        <w:tab/>
      </w:r>
      <w:r>
        <w:fldChar w:fldCharType="begin"/>
      </w:r>
      <w:r>
        <w:instrText xml:space="preserve"> PAGEREF _Toc9751 \h </w:instrText>
      </w:r>
      <w:r>
        <w:fldChar w:fldCharType="separate"/>
      </w:r>
      <w:r>
        <w:t>- 42 -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_Toc13212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3.8.2. </w:t>
      </w:r>
      <w:r>
        <w:rPr>
          <w:rFonts w:hint="eastAsia" w:cs="Times New Roman"/>
          <w:bCs/>
          <w:kern w:val="2"/>
          <w:szCs w:val="24"/>
          <w:lang w:val="en-US" w:eastAsia="zh-CN" w:bidi="ar-SA"/>
        </w:rPr>
        <w:t>数据需求</w:t>
      </w:r>
      <w:r>
        <w:tab/>
      </w:r>
      <w:r>
        <w:fldChar w:fldCharType="begin"/>
      </w:r>
      <w:r>
        <w:instrText xml:space="preserve"> PAGEREF _Toc13212 \h </w:instrText>
      </w:r>
      <w:r>
        <w:fldChar w:fldCharType="separate"/>
      </w:r>
      <w:r>
        <w:t>- 42 -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_Toc12059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3.8.3. </w:t>
      </w:r>
      <w:r>
        <w:rPr>
          <w:rFonts w:hint="eastAsia" w:cs="Times New Roman"/>
          <w:bCs/>
          <w:kern w:val="2"/>
          <w:szCs w:val="24"/>
          <w:lang w:val="en-US" w:eastAsia="zh-CN" w:bidi="ar-SA"/>
        </w:rPr>
        <w:t>权限需求</w:t>
      </w:r>
      <w:r>
        <w:tab/>
      </w:r>
      <w:r>
        <w:fldChar w:fldCharType="begin"/>
      </w:r>
      <w:r>
        <w:instrText xml:space="preserve"> PAGEREF _Toc12059 \h </w:instrText>
      </w:r>
      <w:r>
        <w:fldChar w:fldCharType="separate"/>
      </w:r>
      <w:r>
        <w:t>- 42 -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_Toc2151 </w:instrText>
      </w:r>
      <w:r>
        <w:rPr>
          <w:rFonts w:asciiTheme="minorEastAsia" w:hAnsiTheme="minorEastAsia" w:eastAsiaTheme="minorEastAsia"/>
          <w:szCs w:val="24"/>
        </w:rPr>
        <w:fldChar w:fldCharType="separate"/>
      </w:r>
      <w:r>
        <w:rPr>
          <w:rFonts w:hint="eastAsia" w:cs="Times New Roman" w:asciiTheme="minorEastAsia" w:hAnsiTheme="minorEastAsia" w:eastAsiaTheme="minorEastAsia"/>
          <w:bCs/>
          <w:kern w:val="2"/>
          <w:szCs w:val="24"/>
          <w:lang w:val="en-US" w:eastAsia="zh-CN" w:bidi="ar-SA"/>
        </w:rPr>
        <w:t>3.9. 日常管理</w:t>
      </w:r>
      <w:r>
        <w:tab/>
      </w:r>
      <w:r>
        <w:fldChar w:fldCharType="begin"/>
      </w:r>
      <w:r>
        <w:instrText xml:space="preserve"> PAGEREF _Toc2151 \h </w:instrText>
      </w:r>
      <w:r>
        <w:fldChar w:fldCharType="separate"/>
      </w:r>
      <w:r>
        <w:t>- 42 -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_Toc12635 </w:instrText>
      </w:r>
      <w:r>
        <w:rPr>
          <w:rFonts w:asciiTheme="minorEastAsia" w:hAnsiTheme="minorEastAsia" w:eastAsiaTheme="minorEastAsia"/>
          <w:szCs w:val="24"/>
        </w:rPr>
        <w:fldChar w:fldCharType="separate"/>
      </w:r>
      <w:r>
        <w:rPr>
          <w:rFonts w:hint="eastAsia"/>
        </w:rPr>
        <w:t xml:space="preserve">3.9.1. </w:t>
      </w:r>
      <w:r>
        <w:rPr>
          <w:rFonts w:hint="eastAsia"/>
          <w:lang w:val="en-US" w:eastAsia="zh-CN"/>
        </w:rPr>
        <w:t>工作周报管理</w:t>
      </w:r>
      <w:r>
        <w:tab/>
      </w:r>
      <w:r>
        <w:fldChar w:fldCharType="begin"/>
      </w:r>
      <w:r>
        <w:instrText xml:space="preserve"> PAGEREF _Toc12635 \h </w:instrText>
      </w:r>
      <w:r>
        <w:fldChar w:fldCharType="separate"/>
      </w:r>
      <w:r>
        <w:t>- 42 -</w:t>
      </w:r>
      <w:r>
        <w:fldChar w:fldCharType="end"/>
      </w:r>
      <w:r>
        <w:rPr>
          <w:rFonts w:asciiTheme="minorEastAsia" w:hAnsiTheme="minorEastAsia" w:eastAsiaTheme="minorEastAsia"/>
          <w:szCs w:val="24"/>
        </w:rPr>
        <w:fldChar w:fldCharType="end"/>
      </w:r>
    </w:p>
    <w:p>
      <w:pPr>
        <w:pStyle w:val="25"/>
        <w:tabs>
          <w:tab w:val="right" w:leader="dot" w:pos="8788"/>
          <w:tab w:val="clear" w:pos="8302"/>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_Toc3945 </w:instrText>
      </w:r>
      <w:r>
        <w:rPr>
          <w:rFonts w:asciiTheme="minorEastAsia" w:hAnsiTheme="minorEastAsia" w:eastAsiaTheme="minorEastAsia"/>
          <w:szCs w:val="24"/>
        </w:rPr>
        <w:fldChar w:fldCharType="separate"/>
      </w:r>
      <w:r>
        <w:rPr>
          <w:rFonts w:hint="eastAsia"/>
        </w:rPr>
        <w:t>4. 非功能需求分析</w:t>
      </w:r>
      <w:r>
        <w:tab/>
      </w:r>
      <w:r>
        <w:fldChar w:fldCharType="begin"/>
      </w:r>
      <w:r>
        <w:instrText xml:space="preserve"> PAGEREF _Toc3945 \h </w:instrText>
      </w:r>
      <w:r>
        <w:fldChar w:fldCharType="separate"/>
      </w:r>
      <w:r>
        <w:t>- 43 -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_Toc17454 </w:instrText>
      </w:r>
      <w:r>
        <w:rPr>
          <w:rFonts w:asciiTheme="minorEastAsia" w:hAnsiTheme="minorEastAsia" w:eastAsiaTheme="minorEastAsia"/>
          <w:szCs w:val="24"/>
        </w:rPr>
        <w:fldChar w:fldCharType="separate"/>
      </w:r>
      <w:r>
        <w:rPr>
          <w:rFonts w:hint="eastAsia" w:cs="宋体" w:asciiTheme="minorEastAsia" w:hAnsiTheme="minorEastAsia" w:eastAsiaTheme="minorEastAsia"/>
          <w:szCs w:val="24"/>
        </w:rPr>
        <w:t>4.1. 用户界面需求</w:t>
      </w:r>
      <w:r>
        <w:tab/>
      </w:r>
      <w:r>
        <w:fldChar w:fldCharType="begin"/>
      </w:r>
      <w:r>
        <w:instrText xml:space="preserve"> PAGEREF _Toc17454 \h </w:instrText>
      </w:r>
      <w:r>
        <w:fldChar w:fldCharType="separate"/>
      </w:r>
      <w:r>
        <w:t>- 43 -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_Toc27649 </w:instrText>
      </w:r>
      <w:r>
        <w:rPr>
          <w:rFonts w:asciiTheme="minorEastAsia" w:hAnsiTheme="minorEastAsia" w:eastAsiaTheme="minorEastAsia"/>
          <w:szCs w:val="24"/>
        </w:rPr>
        <w:fldChar w:fldCharType="separate"/>
      </w:r>
      <w:r>
        <w:rPr>
          <w:rFonts w:hint="eastAsia" w:cs="宋体" w:asciiTheme="minorEastAsia" w:hAnsiTheme="minorEastAsia" w:eastAsiaTheme="minorEastAsia"/>
          <w:szCs w:val="24"/>
        </w:rPr>
        <w:t>4.2. 运行环境需求</w:t>
      </w:r>
      <w:r>
        <w:tab/>
      </w:r>
      <w:r>
        <w:fldChar w:fldCharType="begin"/>
      </w:r>
      <w:r>
        <w:instrText xml:space="preserve"> PAGEREF _Toc27649 \h </w:instrText>
      </w:r>
      <w:r>
        <w:fldChar w:fldCharType="separate"/>
      </w:r>
      <w:r>
        <w:t>- 44 -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_Toc18774 </w:instrText>
      </w:r>
      <w:r>
        <w:rPr>
          <w:rFonts w:asciiTheme="minorEastAsia" w:hAnsiTheme="minorEastAsia" w:eastAsiaTheme="minorEastAsia"/>
          <w:szCs w:val="24"/>
        </w:rPr>
        <w:fldChar w:fldCharType="separate"/>
      </w:r>
      <w:r>
        <w:rPr>
          <w:rFonts w:hint="eastAsia"/>
        </w:rPr>
        <w:t xml:space="preserve">4.2.1. </w:t>
      </w:r>
      <w:r>
        <w:rPr>
          <w:rFonts w:hint="eastAsia"/>
          <w:lang w:val="en-US" w:eastAsia="zh-CN"/>
        </w:rPr>
        <w:t>测试环境需求</w:t>
      </w:r>
      <w:r>
        <w:tab/>
      </w:r>
      <w:r>
        <w:fldChar w:fldCharType="begin"/>
      </w:r>
      <w:r>
        <w:instrText xml:space="preserve"> PAGEREF _Toc18774 \h </w:instrText>
      </w:r>
      <w:r>
        <w:fldChar w:fldCharType="separate"/>
      </w:r>
      <w:r>
        <w:t>- 44 -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_Toc32089 </w:instrText>
      </w:r>
      <w:r>
        <w:rPr>
          <w:rFonts w:asciiTheme="minorEastAsia" w:hAnsiTheme="minorEastAsia" w:eastAsiaTheme="minorEastAsia"/>
          <w:szCs w:val="24"/>
        </w:rPr>
        <w:fldChar w:fldCharType="separate"/>
      </w:r>
      <w:r>
        <w:rPr>
          <w:rFonts w:hint="eastAsia" w:ascii="Times New Roman" w:hAnsi="Times New Roman" w:eastAsia="宋体" w:cs="Times New Roman"/>
          <w:bCs/>
          <w:kern w:val="2"/>
          <w:szCs w:val="24"/>
          <w:lang w:val="en-US" w:eastAsia="zh-CN" w:bidi="ar-SA"/>
        </w:rPr>
        <w:t xml:space="preserve">4.2.2. </w:t>
      </w:r>
      <w:r>
        <w:rPr>
          <w:rFonts w:hint="eastAsia" w:cs="Times New Roman"/>
          <w:bCs/>
          <w:kern w:val="2"/>
          <w:szCs w:val="24"/>
          <w:lang w:val="en-US" w:eastAsia="zh-CN" w:bidi="ar-SA"/>
        </w:rPr>
        <w:t>正式环境需求</w:t>
      </w:r>
      <w:r>
        <w:tab/>
      </w:r>
      <w:r>
        <w:fldChar w:fldCharType="begin"/>
      </w:r>
      <w:r>
        <w:instrText xml:space="preserve"> PAGEREF _Toc32089 \h </w:instrText>
      </w:r>
      <w:r>
        <w:fldChar w:fldCharType="separate"/>
      </w:r>
      <w:r>
        <w:t>- 44 -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_Toc24061 </w:instrText>
      </w:r>
      <w:r>
        <w:rPr>
          <w:rFonts w:asciiTheme="minorEastAsia" w:hAnsiTheme="minorEastAsia" w:eastAsiaTheme="minorEastAsia"/>
          <w:szCs w:val="24"/>
        </w:rPr>
        <w:fldChar w:fldCharType="separate"/>
      </w:r>
      <w:r>
        <w:rPr>
          <w:rFonts w:hint="eastAsia" w:cs="宋体" w:asciiTheme="minorEastAsia" w:hAnsiTheme="minorEastAsia" w:eastAsiaTheme="minorEastAsia"/>
          <w:szCs w:val="24"/>
        </w:rPr>
        <w:t>4.3. 性能需求</w:t>
      </w:r>
      <w:r>
        <w:tab/>
      </w:r>
      <w:r>
        <w:fldChar w:fldCharType="begin"/>
      </w:r>
      <w:r>
        <w:instrText xml:space="preserve"> PAGEREF _Toc24061 \h </w:instrText>
      </w:r>
      <w:r>
        <w:fldChar w:fldCharType="separate"/>
      </w:r>
      <w:r>
        <w:t>- 44 -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_Toc25589 </w:instrText>
      </w:r>
      <w:r>
        <w:rPr>
          <w:rFonts w:asciiTheme="minorEastAsia" w:hAnsiTheme="minorEastAsia" w:eastAsiaTheme="minorEastAsia"/>
          <w:szCs w:val="24"/>
        </w:rPr>
        <w:fldChar w:fldCharType="separate"/>
      </w:r>
      <w:r>
        <w:rPr>
          <w:rFonts w:hint="eastAsia" w:cs="宋体" w:asciiTheme="minorEastAsia" w:hAnsiTheme="minorEastAsia" w:eastAsiaTheme="minorEastAsia"/>
          <w:szCs w:val="24"/>
        </w:rPr>
        <w:t>4.4. 安全性和可靠性</w:t>
      </w:r>
      <w:r>
        <w:tab/>
      </w:r>
      <w:r>
        <w:fldChar w:fldCharType="begin"/>
      </w:r>
      <w:r>
        <w:instrText xml:space="preserve"> PAGEREF _Toc25589 \h </w:instrText>
      </w:r>
      <w:r>
        <w:fldChar w:fldCharType="separate"/>
      </w:r>
      <w:r>
        <w:t>- 44 -</w:t>
      </w:r>
      <w:r>
        <w:fldChar w:fldCharType="end"/>
      </w:r>
      <w:r>
        <w:rPr>
          <w:rFonts w:asciiTheme="minorEastAsia" w:hAnsiTheme="minorEastAsia" w:eastAsiaTheme="minorEastAsia"/>
          <w:szCs w:val="24"/>
        </w:rPr>
        <w:fldChar w:fldCharType="end"/>
      </w:r>
    </w:p>
    <w:p>
      <w:pPr>
        <w:pStyle w:val="30"/>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_Toc16531 </w:instrText>
      </w:r>
      <w:r>
        <w:rPr>
          <w:rFonts w:asciiTheme="minorEastAsia" w:hAnsiTheme="minorEastAsia" w:eastAsiaTheme="minorEastAsia"/>
          <w:szCs w:val="24"/>
        </w:rPr>
        <w:fldChar w:fldCharType="separate"/>
      </w:r>
      <w:r>
        <w:rPr>
          <w:rFonts w:hint="eastAsia" w:cs="宋体" w:asciiTheme="minorEastAsia" w:hAnsiTheme="minorEastAsia" w:eastAsiaTheme="minorEastAsia"/>
          <w:szCs w:val="24"/>
        </w:rPr>
        <w:t>4.5. 集成与接口需求</w:t>
      </w:r>
      <w:r>
        <w:tab/>
      </w:r>
      <w:r>
        <w:fldChar w:fldCharType="begin"/>
      </w:r>
      <w:r>
        <w:instrText xml:space="preserve"> PAGEREF _Toc16531 \h </w:instrText>
      </w:r>
      <w:r>
        <w:fldChar w:fldCharType="separate"/>
      </w:r>
      <w:r>
        <w:t>- 45 -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_Toc27801 </w:instrText>
      </w:r>
      <w:r>
        <w:rPr>
          <w:rFonts w:asciiTheme="minorEastAsia" w:hAnsiTheme="minorEastAsia" w:eastAsiaTheme="minorEastAsia"/>
          <w:szCs w:val="24"/>
        </w:rPr>
        <w:fldChar w:fldCharType="separate"/>
      </w:r>
      <w:r>
        <w:rPr>
          <w:rFonts w:hint="eastAsia"/>
        </w:rPr>
        <w:t xml:space="preserve">4.5.1. </w:t>
      </w:r>
      <w:r>
        <w:rPr>
          <w:rFonts w:hint="eastAsia"/>
          <w:lang w:val="en-US" w:eastAsia="zh-CN"/>
        </w:rPr>
        <w:t>协同办公系统</w:t>
      </w:r>
      <w:r>
        <w:tab/>
      </w:r>
      <w:r>
        <w:fldChar w:fldCharType="begin"/>
      </w:r>
      <w:r>
        <w:instrText xml:space="preserve"> PAGEREF _Toc27801 \h </w:instrText>
      </w:r>
      <w:r>
        <w:fldChar w:fldCharType="separate"/>
      </w:r>
      <w:r>
        <w:t>- 45 -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_Toc14994 </w:instrText>
      </w:r>
      <w:r>
        <w:rPr>
          <w:rFonts w:asciiTheme="minorEastAsia" w:hAnsiTheme="minorEastAsia" w:eastAsiaTheme="minorEastAsia"/>
          <w:szCs w:val="24"/>
        </w:rPr>
        <w:fldChar w:fldCharType="separate"/>
      </w:r>
      <w:r>
        <w:rPr>
          <w:rFonts w:hint="eastAsia"/>
        </w:rPr>
        <w:t xml:space="preserve">4.5.2. </w:t>
      </w:r>
      <w:r>
        <w:rPr>
          <w:rFonts w:hint="eastAsia"/>
          <w:lang w:val="en-US" w:eastAsia="zh-CN"/>
        </w:rPr>
        <w:t>调度可视化平台</w:t>
      </w:r>
      <w:r>
        <w:tab/>
      </w:r>
      <w:r>
        <w:fldChar w:fldCharType="begin"/>
      </w:r>
      <w:r>
        <w:instrText xml:space="preserve"> PAGEREF _Toc14994 \h </w:instrText>
      </w:r>
      <w:r>
        <w:fldChar w:fldCharType="separate"/>
      </w:r>
      <w:r>
        <w:t>- 45 -</w:t>
      </w:r>
      <w:r>
        <w:fldChar w:fldCharType="end"/>
      </w:r>
      <w:r>
        <w:rPr>
          <w:rFonts w:asciiTheme="minorEastAsia" w:hAnsiTheme="minorEastAsia" w:eastAsiaTheme="minorEastAsia"/>
          <w:szCs w:val="24"/>
        </w:rPr>
        <w:fldChar w:fldCharType="end"/>
      </w:r>
    </w:p>
    <w:p>
      <w:pPr>
        <w:pStyle w:val="19"/>
        <w:tabs>
          <w:tab w:val="right" w:leader="dot" w:pos="8788"/>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_Toc21371 </w:instrText>
      </w:r>
      <w:r>
        <w:rPr>
          <w:rFonts w:asciiTheme="minorEastAsia" w:hAnsiTheme="minorEastAsia" w:eastAsiaTheme="minorEastAsia"/>
          <w:szCs w:val="24"/>
        </w:rPr>
        <w:fldChar w:fldCharType="separate"/>
      </w:r>
      <w:r>
        <w:rPr>
          <w:rFonts w:hint="eastAsia"/>
        </w:rPr>
        <w:t xml:space="preserve">4.5.3. </w:t>
      </w:r>
      <w:r>
        <w:rPr>
          <w:rFonts w:hint="eastAsia"/>
          <w:lang w:val="en-US" w:eastAsia="zh-CN"/>
        </w:rPr>
        <w:t>财务管理系统</w:t>
      </w:r>
      <w:r>
        <w:tab/>
      </w:r>
      <w:r>
        <w:fldChar w:fldCharType="begin"/>
      </w:r>
      <w:r>
        <w:instrText xml:space="preserve"> PAGEREF _Toc21371 \h </w:instrText>
      </w:r>
      <w:r>
        <w:fldChar w:fldCharType="separate"/>
      </w:r>
      <w:r>
        <w:t>- 45 -</w:t>
      </w:r>
      <w:r>
        <w:fldChar w:fldCharType="end"/>
      </w:r>
      <w:r>
        <w:rPr>
          <w:rFonts w:asciiTheme="minorEastAsia" w:hAnsiTheme="minorEastAsia" w:eastAsiaTheme="minorEastAsia"/>
          <w:szCs w:val="24"/>
        </w:rPr>
        <w:fldChar w:fldCharType="end"/>
      </w:r>
    </w:p>
    <w:p>
      <w:pPr>
        <w:rPr>
          <w:rFonts w:cs="Times New Roman" w:asciiTheme="minorEastAsia" w:hAnsiTheme="minorEastAsia" w:eastAsiaTheme="minorEastAsia"/>
          <w:sz w:val="24"/>
          <w:szCs w:val="24"/>
        </w:rPr>
      </w:pPr>
      <w:r>
        <w:rPr>
          <w:rFonts w:asciiTheme="minorEastAsia" w:hAnsiTheme="minorEastAsia" w:eastAsiaTheme="minorEastAsia"/>
          <w:szCs w:val="24"/>
        </w:rPr>
        <w:fldChar w:fldCharType="end"/>
      </w:r>
    </w:p>
    <w:p>
      <w:pPr>
        <w:widowControl/>
        <w:jc w:val="left"/>
        <w:rPr>
          <w:rFonts w:cs="Times New Roman" w:asciiTheme="minorEastAsia" w:hAnsiTheme="minorEastAsia" w:eastAsiaTheme="minorEastAsia"/>
          <w:sz w:val="24"/>
          <w:szCs w:val="24"/>
        </w:rPr>
      </w:pPr>
      <w:r>
        <w:rPr>
          <w:rFonts w:cs="Times New Roman" w:asciiTheme="minorEastAsia" w:hAnsiTheme="minorEastAsia" w:eastAsiaTheme="minorEastAsia"/>
          <w:sz w:val="24"/>
          <w:szCs w:val="24"/>
        </w:rPr>
        <w:br w:type="page"/>
      </w:r>
    </w:p>
    <w:p>
      <w:pPr>
        <w:pStyle w:val="4"/>
        <w:rPr>
          <w:rFonts w:asciiTheme="minorEastAsia" w:hAnsiTheme="minorEastAsia" w:eastAsiaTheme="minorEastAsia"/>
          <w:sz w:val="24"/>
          <w:szCs w:val="24"/>
        </w:rPr>
      </w:pPr>
      <w:bookmarkStart w:id="1" w:name="_Toc16741"/>
      <w:r>
        <w:rPr>
          <w:rFonts w:hint="eastAsia" w:cs="宋体" w:asciiTheme="minorEastAsia" w:hAnsiTheme="minorEastAsia" w:eastAsiaTheme="minorEastAsia"/>
          <w:sz w:val="24"/>
          <w:szCs w:val="24"/>
        </w:rPr>
        <w:t>项目概述</w:t>
      </w:r>
      <w:bookmarkEnd w:id="1"/>
    </w:p>
    <w:p>
      <w:pPr>
        <w:pStyle w:val="6"/>
        <w:rPr>
          <w:rFonts w:asciiTheme="minorEastAsia" w:hAnsiTheme="minorEastAsia" w:eastAsiaTheme="minorEastAsia"/>
          <w:sz w:val="24"/>
          <w:szCs w:val="24"/>
        </w:rPr>
      </w:pPr>
      <w:bookmarkStart w:id="2" w:name="_Toc7028"/>
      <w:r>
        <w:rPr>
          <w:rFonts w:hint="eastAsia" w:cs="宋体" w:asciiTheme="minorEastAsia" w:hAnsiTheme="minorEastAsia" w:eastAsiaTheme="minorEastAsia"/>
          <w:sz w:val="24"/>
          <w:szCs w:val="24"/>
        </w:rPr>
        <w:t>项目背景</w:t>
      </w:r>
      <w:bookmarkEnd w:id="2"/>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建立审计法务管理系统，实现审计计划管理、审计标准管理、审计知识管理、审计资源管理、多类型审计项目过程和节点管理和审计整改跟踪管理、审计全过程资料和记录管理、审计台账管理等，实现内部审计工作的标准化管理，通过信息化手段将审计工作标准和管理规范应用到内部审计全过程，实现审计经验共享、标准化管理，提高审计质量；逐步实现审计从事后向事中和事前前置，提高风险的预防能力。</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同时，通过系统统筹集团各级单位法律事务，实现集团法务争议、仲裁和诉讼等管理过程在线化，法务管理授权可视化及有限范围高效运转。有效联动合同管理系统，实现合同法务风险在线联动预警、提醒、审查。</w:t>
      </w:r>
    </w:p>
    <w:p>
      <w:pPr>
        <w:pStyle w:val="6"/>
        <w:rPr>
          <w:rFonts w:asciiTheme="minorEastAsia" w:hAnsiTheme="minorEastAsia" w:eastAsiaTheme="minorEastAsia"/>
          <w:sz w:val="24"/>
          <w:szCs w:val="24"/>
        </w:rPr>
      </w:pPr>
      <w:bookmarkStart w:id="3" w:name="_Toc24372"/>
      <w:r>
        <w:rPr>
          <w:rFonts w:hint="eastAsia" w:cs="宋体" w:asciiTheme="minorEastAsia" w:hAnsiTheme="minorEastAsia" w:eastAsiaTheme="minorEastAsia"/>
          <w:sz w:val="24"/>
          <w:szCs w:val="24"/>
        </w:rPr>
        <w:t>项目目标</w:t>
      </w:r>
      <w:bookmarkEnd w:id="3"/>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通过</w:t>
      </w:r>
      <w:r>
        <w:rPr>
          <w:rFonts w:hint="eastAsia" w:asciiTheme="minorEastAsia" w:hAnsiTheme="minorEastAsia" w:eastAsiaTheme="minorEastAsia" w:cstheme="minorEastAsia"/>
          <w:sz w:val="24"/>
          <w:szCs w:val="24"/>
          <w:lang w:val="en-US" w:eastAsia="zh-CN"/>
        </w:rPr>
        <w:t>审计法务管理系统建设</w:t>
      </w:r>
      <w:r>
        <w:rPr>
          <w:rFonts w:hint="eastAsia" w:asciiTheme="minorEastAsia" w:hAnsiTheme="minorEastAsia" w:eastAsiaTheme="minorEastAsia" w:cstheme="minorEastAsia"/>
          <w:sz w:val="24"/>
          <w:szCs w:val="24"/>
        </w:rPr>
        <w:t>，达成以下目标：</w:t>
      </w:r>
    </w:p>
    <w:p>
      <w:pPr>
        <w:keepNext w:val="0"/>
        <w:keepLines w:val="0"/>
        <w:pageBreakBefore w:val="0"/>
        <w:widowControl w:val="0"/>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rPr>
        <w:t>1．流程</w:t>
      </w:r>
      <w:r>
        <w:rPr>
          <w:rFonts w:hint="eastAsia" w:ascii="宋体" w:hAnsi="宋体" w:cs="宋体"/>
          <w:b/>
          <w:bCs/>
          <w:sz w:val="24"/>
          <w:szCs w:val="24"/>
          <w:lang w:val="en-US" w:eastAsia="zh-CN"/>
        </w:rPr>
        <w:t>规范化</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结合信息化、移动应用技术，将等涉及的</w:t>
      </w:r>
      <w:r>
        <w:rPr>
          <w:rFonts w:hint="eastAsia" w:asciiTheme="minorEastAsia" w:hAnsiTheme="minorEastAsia" w:eastAsiaTheme="minorEastAsia" w:cstheme="minorEastAsia"/>
          <w:sz w:val="24"/>
          <w:szCs w:val="24"/>
          <w:lang w:val="en-US" w:eastAsia="zh-CN"/>
        </w:rPr>
        <w:t>审计</w:t>
      </w:r>
      <w:r>
        <w:rPr>
          <w:rFonts w:hint="eastAsia" w:asciiTheme="minorEastAsia" w:hAnsiTheme="minorEastAsia" w:eastAsiaTheme="minorEastAsia" w:cstheme="minorEastAsia"/>
          <w:sz w:val="24"/>
          <w:szCs w:val="24"/>
        </w:rPr>
        <w:t>管理、</w:t>
      </w:r>
      <w:r>
        <w:rPr>
          <w:rFonts w:hint="eastAsia" w:asciiTheme="minorEastAsia" w:hAnsiTheme="minorEastAsia" w:eastAsiaTheme="minorEastAsia" w:cstheme="minorEastAsia"/>
          <w:sz w:val="24"/>
          <w:szCs w:val="24"/>
          <w:lang w:val="en-US" w:eastAsia="zh-CN"/>
        </w:rPr>
        <w:t>法务</w:t>
      </w:r>
      <w:r>
        <w:rPr>
          <w:rFonts w:hint="eastAsia" w:asciiTheme="minorEastAsia" w:hAnsiTheme="minorEastAsia" w:eastAsiaTheme="minorEastAsia" w:cstheme="minorEastAsia"/>
          <w:sz w:val="24"/>
          <w:szCs w:val="24"/>
        </w:rPr>
        <w:t>管理、</w:t>
      </w:r>
      <w:r>
        <w:rPr>
          <w:rFonts w:hint="eastAsia" w:asciiTheme="minorEastAsia" w:hAnsiTheme="minorEastAsia" w:eastAsiaTheme="minorEastAsia" w:cstheme="minorEastAsia"/>
          <w:sz w:val="24"/>
          <w:szCs w:val="24"/>
          <w:lang w:val="en-US" w:eastAsia="zh-CN"/>
        </w:rPr>
        <w:t>监事会监督</w:t>
      </w:r>
      <w:r>
        <w:rPr>
          <w:rFonts w:hint="eastAsia" w:asciiTheme="minorEastAsia" w:hAnsiTheme="minorEastAsia" w:eastAsiaTheme="minorEastAsia" w:cstheme="minorEastAsia"/>
          <w:sz w:val="24"/>
          <w:szCs w:val="24"/>
        </w:rPr>
        <w:t>管理、</w:t>
      </w:r>
      <w:r>
        <w:rPr>
          <w:rFonts w:hint="eastAsia" w:asciiTheme="minorEastAsia" w:hAnsiTheme="minorEastAsia" w:eastAsiaTheme="minorEastAsia" w:cstheme="minorEastAsia"/>
          <w:sz w:val="24"/>
          <w:szCs w:val="24"/>
          <w:lang w:val="en-US" w:eastAsia="zh-CN"/>
        </w:rPr>
        <w:t>内控</w:t>
      </w:r>
      <w:r>
        <w:rPr>
          <w:rFonts w:hint="eastAsia" w:asciiTheme="minorEastAsia" w:hAnsiTheme="minorEastAsia" w:eastAsiaTheme="minorEastAsia" w:cstheme="minorEastAsia"/>
          <w:sz w:val="24"/>
          <w:szCs w:val="24"/>
        </w:rPr>
        <w:t>管理等管理表单和流程，固化至本系统，实现流程自动运转</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建设审计全流程跟踪体系，规范审计工作程序，推动审计监督全覆盖</w:t>
      </w:r>
      <w:r>
        <w:rPr>
          <w:rFonts w:hint="eastAsia" w:asciiTheme="minorEastAsia" w:hAnsiTheme="minorEastAsia" w:eastAsiaTheme="minorEastAsia" w:cstheme="minorEastAsia"/>
          <w:sz w:val="24"/>
          <w:szCs w:val="24"/>
        </w:rPr>
        <w:t>。同时，系统中流程可通过自定义方式，以快速响应</w:t>
      </w:r>
      <w:r>
        <w:rPr>
          <w:rFonts w:hint="eastAsia" w:asciiTheme="minorEastAsia" w:hAnsiTheme="minorEastAsia" w:eastAsiaTheme="minorEastAsia" w:cstheme="minorEastAsia"/>
          <w:sz w:val="24"/>
          <w:szCs w:val="24"/>
          <w:lang w:val="en-US" w:eastAsia="zh-CN"/>
        </w:rPr>
        <w:t>铁路集团</w:t>
      </w:r>
      <w:r>
        <w:rPr>
          <w:rFonts w:hint="eastAsia" w:asciiTheme="minorEastAsia" w:hAnsiTheme="minorEastAsia" w:eastAsiaTheme="minorEastAsia" w:cstheme="minorEastAsia"/>
          <w:sz w:val="24"/>
          <w:szCs w:val="24"/>
        </w:rPr>
        <w:t>组织架构、流程调整。</w:t>
      </w:r>
    </w:p>
    <w:p>
      <w:pPr>
        <w:keepNext w:val="0"/>
        <w:keepLines w:val="0"/>
        <w:pageBreakBefore w:val="0"/>
        <w:widowControl w:val="0"/>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eastAsia="宋体" w:cs="宋体"/>
          <w:b/>
          <w:bCs/>
          <w:sz w:val="24"/>
          <w:szCs w:val="24"/>
        </w:rPr>
        <w:t>2．办公无纸化</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将</w:t>
      </w:r>
      <w:r>
        <w:rPr>
          <w:rFonts w:hint="eastAsia" w:asciiTheme="minorEastAsia" w:hAnsiTheme="minorEastAsia" w:eastAsiaTheme="minorEastAsia" w:cstheme="minorEastAsia"/>
          <w:sz w:val="24"/>
          <w:szCs w:val="24"/>
          <w:lang w:val="en-US" w:eastAsia="zh-CN"/>
        </w:rPr>
        <w:t>审计法务管理</w:t>
      </w:r>
      <w:r>
        <w:rPr>
          <w:rFonts w:hint="eastAsia" w:asciiTheme="minorEastAsia" w:hAnsiTheme="minorEastAsia" w:eastAsiaTheme="minorEastAsia" w:cstheme="minorEastAsia"/>
          <w:sz w:val="24"/>
          <w:szCs w:val="24"/>
        </w:rPr>
        <w:t>工作业务流程电子化，结合业务管理实际情况，建设系统PC端+移动端，实现</w:t>
      </w:r>
      <w:r>
        <w:rPr>
          <w:rFonts w:hint="eastAsia" w:asciiTheme="minorEastAsia" w:hAnsiTheme="minorEastAsia" w:eastAsiaTheme="minorEastAsia" w:cstheme="minorEastAsia"/>
          <w:sz w:val="24"/>
          <w:szCs w:val="24"/>
          <w:lang w:val="en-US" w:eastAsia="zh-CN"/>
        </w:rPr>
        <w:t>审计法务</w:t>
      </w:r>
      <w:r>
        <w:rPr>
          <w:rFonts w:hint="eastAsia" w:asciiTheme="minorEastAsia" w:hAnsiTheme="minorEastAsia" w:eastAsiaTheme="minorEastAsia" w:cstheme="minorEastAsia"/>
          <w:sz w:val="24"/>
          <w:szCs w:val="24"/>
        </w:rPr>
        <w:t>业务处理的无纸化</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对于信息化系统的使用，制定系统应用推广制度，保证系统有效应用，系统传递信息真实、可靠、有效、权威。</w:t>
      </w:r>
    </w:p>
    <w:p>
      <w:pPr>
        <w:keepNext w:val="0"/>
        <w:keepLines w:val="0"/>
        <w:pageBreakBefore w:val="0"/>
        <w:widowControl w:val="0"/>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eastAsia="宋体" w:cs="宋体"/>
          <w:b/>
          <w:bCs/>
          <w:sz w:val="24"/>
          <w:szCs w:val="24"/>
        </w:rPr>
        <w:t>3．</w:t>
      </w:r>
      <w:r>
        <w:rPr>
          <w:rFonts w:hint="eastAsia" w:ascii="宋体" w:hAnsi="宋体" w:cs="宋体"/>
          <w:b/>
          <w:bCs/>
          <w:sz w:val="24"/>
          <w:szCs w:val="24"/>
          <w:lang w:val="en-US" w:eastAsia="zh-CN"/>
        </w:rPr>
        <w:t>知识共享</w:t>
      </w:r>
      <w:r>
        <w:rPr>
          <w:rFonts w:hint="eastAsia" w:ascii="宋体" w:hAnsi="宋体" w:eastAsia="宋体" w:cs="宋体"/>
          <w:b/>
          <w:bCs/>
          <w:sz w:val="24"/>
          <w:szCs w:val="24"/>
        </w:rPr>
        <w:t>化</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将</w:t>
      </w:r>
      <w:r>
        <w:rPr>
          <w:rFonts w:hint="eastAsia" w:asciiTheme="minorEastAsia" w:hAnsiTheme="minorEastAsia" w:eastAsiaTheme="minorEastAsia" w:cstheme="minorEastAsia"/>
          <w:sz w:val="24"/>
          <w:szCs w:val="24"/>
          <w:lang w:val="en-US" w:eastAsia="zh-CN"/>
        </w:rPr>
        <w:t>审计</w:t>
      </w:r>
      <w:r>
        <w:rPr>
          <w:rFonts w:hint="eastAsia" w:asciiTheme="minorEastAsia" w:hAnsiTheme="minorEastAsia" w:eastAsiaTheme="minorEastAsia" w:cstheme="minorEastAsia"/>
          <w:sz w:val="24"/>
          <w:szCs w:val="24"/>
        </w:rPr>
        <w:t>过程中涉及的</w:t>
      </w:r>
      <w:r>
        <w:rPr>
          <w:rFonts w:hint="eastAsia" w:asciiTheme="minorEastAsia" w:hAnsiTheme="minorEastAsia" w:eastAsiaTheme="minorEastAsia" w:cstheme="minorEastAsia"/>
          <w:sz w:val="24"/>
          <w:szCs w:val="24"/>
          <w:lang w:val="en-US" w:eastAsia="zh-CN"/>
        </w:rPr>
        <w:t>审计工作方案</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审计通知书</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调查取证材料</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审计工作底稿</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审计报告</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以及法务合规</w:t>
      </w:r>
      <w:r>
        <w:rPr>
          <w:rFonts w:hint="eastAsia" w:asciiTheme="minorEastAsia" w:hAnsiTheme="minorEastAsia" w:eastAsiaTheme="minorEastAsia" w:cstheme="minorEastAsia"/>
          <w:sz w:val="24"/>
          <w:szCs w:val="24"/>
        </w:rPr>
        <w:t>等信息资源电子化，</w:t>
      </w:r>
      <w:r>
        <w:rPr>
          <w:rFonts w:hint="eastAsia" w:asciiTheme="minorEastAsia" w:hAnsiTheme="minorEastAsia" w:eastAsiaTheme="minorEastAsia" w:cstheme="minorEastAsia"/>
          <w:sz w:val="24"/>
          <w:szCs w:val="24"/>
          <w:lang w:val="en-US" w:eastAsia="zh-CN"/>
        </w:rPr>
        <w:t>构建审计数据共享交付平台，形成内部审计法务知识库，促进审计成果共享，提高管理水平</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eastAsia="宋体" w:cs="宋体"/>
          <w:b/>
          <w:bCs/>
          <w:sz w:val="24"/>
          <w:szCs w:val="24"/>
        </w:rPr>
        <w:t>4．管理科学化</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通过本系统建设，</w:t>
      </w:r>
      <w:r>
        <w:rPr>
          <w:rFonts w:hint="eastAsia" w:asciiTheme="minorEastAsia" w:hAnsiTheme="minorEastAsia" w:eastAsiaTheme="minorEastAsia" w:cstheme="minorEastAsia"/>
          <w:sz w:val="24"/>
          <w:szCs w:val="24"/>
          <w:lang w:val="en-US" w:eastAsia="zh-CN"/>
        </w:rPr>
        <w:t>企业核心数据（投资数据、财务数据等）实时动态监控，构建风险指标体系，支持自定义风险监控指标，实现动态预警、及时发现风险，提升企业风控能力。</w:t>
      </w:r>
    </w:p>
    <w:p>
      <w:pPr>
        <w:pStyle w:val="6"/>
        <w:rPr>
          <w:rFonts w:asciiTheme="minorEastAsia" w:hAnsiTheme="minorEastAsia" w:eastAsiaTheme="minorEastAsia"/>
          <w:sz w:val="24"/>
          <w:szCs w:val="24"/>
        </w:rPr>
      </w:pPr>
      <w:bookmarkStart w:id="4" w:name="_Toc666"/>
      <w:r>
        <w:rPr>
          <w:rFonts w:hint="eastAsia" w:cs="宋体" w:asciiTheme="minorEastAsia" w:hAnsiTheme="minorEastAsia" w:eastAsiaTheme="minorEastAsia"/>
          <w:sz w:val="24"/>
          <w:szCs w:val="24"/>
        </w:rPr>
        <w:t>项目范围</w:t>
      </w:r>
      <w:bookmarkEnd w:id="4"/>
    </w:p>
    <w:tbl>
      <w:tblPr>
        <w:tblStyle w:val="33"/>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6"/>
        <w:gridCol w:w="3603"/>
        <w:gridCol w:w="3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tcBorders>
              <w:bottom w:val="single" w:color="auto" w:sz="4" w:space="0"/>
            </w:tcBorders>
            <w:shd w:val="clear" w:color="000000" w:fill="EEECE1"/>
            <w:vAlign w:val="center"/>
          </w:tcPr>
          <w:p>
            <w:pPr>
              <w:widowControl/>
              <w:spacing w:line="360" w:lineRule="auto"/>
              <w:jc w:val="center"/>
              <w:rPr>
                <w:rFonts w:hint="eastAsia" w:asciiTheme="minorEastAsia" w:hAnsiTheme="minorEastAsia" w:eastAsiaTheme="minorEastAsia" w:cstheme="minorEastAsia"/>
                <w:b/>
                <w:color w:val="000000"/>
                <w:kern w:val="0"/>
                <w:sz w:val="24"/>
                <w:szCs w:val="24"/>
              </w:rPr>
            </w:pPr>
            <w:r>
              <w:rPr>
                <w:rFonts w:hint="eastAsia" w:asciiTheme="minorEastAsia" w:hAnsiTheme="minorEastAsia" w:eastAsiaTheme="minorEastAsia" w:cstheme="minorEastAsia"/>
                <w:b/>
                <w:color w:val="000000"/>
                <w:kern w:val="0"/>
                <w:sz w:val="24"/>
                <w:szCs w:val="24"/>
              </w:rPr>
              <w:t>一级模块</w:t>
            </w:r>
          </w:p>
        </w:tc>
        <w:tc>
          <w:tcPr>
            <w:tcW w:w="3603" w:type="dxa"/>
            <w:tcBorders>
              <w:bottom w:val="single" w:color="auto" w:sz="4" w:space="0"/>
            </w:tcBorders>
            <w:shd w:val="clear" w:color="000000" w:fill="EEECE1"/>
            <w:vAlign w:val="center"/>
          </w:tcPr>
          <w:p>
            <w:pPr>
              <w:widowControl/>
              <w:spacing w:line="360" w:lineRule="auto"/>
              <w:jc w:val="center"/>
              <w:rPr>
                <w:rFonts w:hint="eastAsia" w:asciiTheme="minorEastAsia" w:hAnsiTheme="minorEastAsia" w:eastAsiaTheme="minorEastAsia" w:cstheme="minorEastAsia"/>
                <w:b/>
                <w:color w:val="000000"/>
                <w:kern w:val="0"/>
                <w:sz w:val="24"/>
                <w:szCs w:val="24"/>
              </w:rPr>
            </w:pPr>
            <w:r>
              <w:rPr>
                <w:rFonts w:hint="eastAsia" w:asciiTheme="minorEastAsia" w:hAnsiTheme="minorEastAsia" w:eastAsiaTheme="minorEastAsia" w:cstheme="minorEastAsia"/>
                <w:b/>
                <w:color w:val="000000"/>
                <w:kern w:val="0"/>
                <w:sz w:val="24"/>
                <w:szCs w:val="24"/>
              </w:rPr>
              <w:t>二级模块</w:t>
            </w:r>
          </w:p>
        </w:tc>
        <w:tc>
          <w:tcPr>
            <w:tcW w:w="3151" w:type="dxa"/>
            <w:tcBorders>
              <w:bottom w:val="single" w:color="auto" w:sz="4" w:space="0"/>
            </w:tcBorders>
            <w:shd w:val="clear" w:color="000000" w:fill="EEECE1"/>
          </w:tcPr>
          <w:p>
            <w:pPr>
              <w:widowControl/>
              <w:spacing w:line="360" w:lineRule="auto"/>
              <w:jc w:val="center"/>
              <w:rPr>
                <w:rFonts w:hint="eastAsia" w:asciiTheme="minorEastAsia" w:hAnsiTheme="minorEastAsia" w:eastAsiaTheme="minorEastAsia" w:cstheme="minorEastAsia"/>
                <w:b/>
                <w:color w:val="000000"/>
                <w:kern w:val="0"/>
                <w:sz w:val="24"/>
                <w:szCs w:val="24"/>
              </w:rPr>
            </w:pPr>
            <w:r>
              <w:rPr>
                <w:rFonts w:hint="eastAsia" w:asciiTheme="minorEastAsia" w:hAnsiTheme="minorEastAsia" w:eastAsiaTheme="minorEastAsia" w:cstheme="minorEastAsia"/>
                <w:b/>
                <w:color w:val="00000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lang w:val="en-US" w:eastAsia="zh-CN"/>
              </w:rPr>
              <w:t>年度</w:t>
            </w:r>
            <w:r>
              <w:rPr>
                <w:rFonts w:hint="eastAsia" w:asciiTheme="minorEastAsia" w:hAnsiTheme="minorEastAsia" w:eastAsiaTheme="minorEastAsia" w:cstheme="minorEastAsia"/>
                <w:color w:val="000000"/>
                <w:kern w:val="0"/>
                <w:sz w:val="24"/>
                <w:szCs w:val="24"/>
              </w:rPr>
              <w:t>审计计划</w:t>
            </w: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w:t>
            </w:r>
          </w:p>
        </w:tc>
        <w:tc>
          <w:tcPr>
            <w:tcW w:w="3151" w:type="dxa"/>
            <w:shd w:val="clear" w:color="auto" w:fill="FFFFFF" w:themeFill="background1"/>
          </w:tcPr>
          <w:p>
            <w:pPr>
              <w:widowControl/>
              <w:spacing w:line="360" w:lineRule="auto"/>
              <w:jc w:val="both"/>
              <w:rPr>
                <w:rFonts w:hint="default" w:asciiTheme="minorEastAsia" w:hAnsiTheme="minorEastAsia" w:eastAsiaTheme="minorEastAsia" w:cstheme="minorEastAsia"/>
                <w:b/>
                <w:color w:val="FFFFFF" w:themeColor="background1"/>
                <w:kern w:val="0"/>
                <w:sz w:val="24"/>
                <w:szCs w:val="24"/>
                <w:lang w:val="en-US" w:eastAsia="zh-CN"/>
                <w14:textFill>
                  <w14:solidFill>
                    <w14:schemeClr w14:val="bg1"/>
                  </w14:solidFill>
                </w14:textFill>
              </w:rPr>
            </w:pPr>
            <w:r>
              <w:rPr>
                <w:rFonts w:hint="eastAsia" w:asciiTheme="minorEastAsia" w:hAnsiTheme="minorEastAsia" w:eastAsiaTheme="minorEastAsia" w:cstheme="minorEastAsia"/>
                <w:color w:val="000000"/>
                <w:kern w:val="0"/>
                <w:sz w:val="24"/>
                <w:szCs w:val="24"/>
                <w:lang w:val="en-US" w:eastAsia="zh-CN"/>
              </w:rPr>
              <w:t>包含年度审计计划编制、审批、调整、执行跟踪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Align w:val="center"/>
          </w:tcPr>
          <w:p>
            <w:pPr>
              <w:widowControl/>
              <w:spacing w:line="360" w:lineRule="auto"/>
              <w:jc w:val="center"/>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审计项目方案</w:t>
            </w:r>
          </w:p>
        </w:tc>
        <w:tc>
          <w:tcPr>
            <w:tcW w:w="3603" w:type="dxa"/>
            <w:shd w:val="clear" w:color="000000" w:fill="FFFFFF"/>
            <w:vAlign w:val="center"/>
          </w:tcPr>
          <w:p>
            <w:pPr>
              <w:widowControl/>
              <w:spacing w:line="360" w:lineRule="auto"/>
              <w:jc w:val="center"/>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w:t>
            </w:r>
          </w:p>
        </w:tc>
        <w:tc>
          <w:tcPr>
            <w:tcW w:w="3151" w:type="dxa"/>
            <w:shd w:val="clear" w:color="auto" w:fill="FFFFFF" w:themeFill="background1"/>
          </w:tcPr>
          <w:p>
            <w:pPr>
              <w:widowControl/>
              <w:spacing w:line="360" w:lineRule="auto"/>
              <w:jc w:val="both"/>
              <w:rPr>
                <w:rFonts w:hint="default" w:asciiTheme="minorEastAsia" w:hAnsiTheme="minorEastAsia" w:eastAsiaTheme="minorEastAsia" w:cstheme="minorEastAsia"/>
                <w:b/>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kern w:val="0"/>
                <w:sz w:val="24"/>
                <w:szCs w:val="24"/>
                <w:lang w:val="en-US" w:eastAsia="zh-CN"/>
              </w:rPr>
              <w:t>包含审计项目方案编制、审批、调整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restart"/>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审计项目管理</w:t>
            </w: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外审项目管理</w:t>
            </w:r>
          </w:p>
        </w:tc>
        <w:tc>
          <w:tcPr>
            <w:tcW w:w="3151" w:type="dxa"/>
            <w:vMerge w:val="restart"/>
            <w:shd w:val="clear" w:color="auto" w:fill="FFFFFF" w:themeFill="background1"/>
          </w:tcPr>
          <w:p>
            <w:pPr>
              <w:widowControl/>
              <w:spacing w:line="360" w:lineRule="auto"/>
              <w:jc w:val="left"/>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lang w:val="en-US" w:eastAsia="zh-CN"/>
              </w:rPr>
              <w:t>包含审计通知书</w:t>
            </w:r>
            <w:r>
              <w:rPr>
                <w:rFonts w:hint="eastAsia" w:asciiTheme="minorEastAsia" w:hAnsiTheme="minorEastAsia" w:eastAsiaTheme="minorEastAsia" w:cstheme="minorEastAsia"/>
                <w:color w:val="000000"/>
                <w:kern w:val="0"/>
                <w:sz w:val="24"/>
                <w:szCs w:val="24"/>
              </w:rPr>
              <w:t>、资料收集、资料汇总、取证记录、工作底稿、征求意见稿、审计周报、审计报告等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continue"/>
            <w:vAlign w:val="center"/>
          </w:tcPr>
          <w:p>
            <w:pPr>
              <w:widowControl/>
              <w:spacing w:line="360" w:lineRule="auto"/>
              <w:jc w:val="left"/>
              <w:rPr>
                <w:rFonts w:hint="eastAsia" w:asciiTheme="minorEastAsia" w:hAnsiTheme="minorEastAsia" w:eastAsiaTheme="minorEastAsia" w:cstheme="minorEastAsia"/>
                <w:color w:val="000000"/>
                <w:kern w:val="0"/>
                <w:sz w:val="24"/>
                <w:szCs w:val="24"/>
              </w:rPr>
            </w:pP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内审项目管理</w:t>
            </w:r>
          </w:p>
        </w:tc>
        <w:tc>
          <w:tcPr>
            <w:tcW w:w="3151" w:type="dxa"/>
            <w:vMerge w:val="continue"/>
            <w:shd w:val="clear" w:color="auto" w:fill="FFFFFF" w:themeFill="background1"/>
          </w:tcPr>
          <w:p>
            <w:pPr>
              <w:widowControl/>
              <w:spacing w:line="360" w:lineRule="auto"/>
              <w:jc w:val="left"/>
              <w:rPr>
                <w:rFonts w:hint="eastAsia" w:asciiTheme="minorEastAsia" w:hAnsiTheme="minorEastAsia" w:eastAsiaTheme="minorEastAsia" w:cstheme="minorEastAsia"/>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restart"/>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审计整改管理</w:t>
            </w: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外审整改管理</w:t>
            </w:r>
          </w:p>
        </w:tc>
        <w:tc>
          <w:tcPr>
            <w:tcW w:w="3151" w:type="dxa"/>
            <w:vMerge w:val="restart"/>
            <w:shd w:val="clear" w:color="auto" w:fill="FFFFFF" w:themeFill="background1"/>
          </w:tcPr>
          <w:p>
            <w:pPr>
              <w:widowControl/>
              <w:spacing w:line="360" w:lineRule="auto"/>
              <w:jc w:val="left"/>
              <w:rPr>
                <w:rFonts w:hint="eastAsia" w:asciiTheme="minorEastAsia" w:hAnsiTheme="minorEastAsia" w:eastAsiaTheme="minorEastAsia" w:cstheme="minorEastAsia"/>
                <w:b/>
                <w:color w:val="FFFFFF" w:themeColor="background1"/>
                <w:kern w:val="0"/>
                <w:sz w:val="24"/>
                <w:szCs w:val="24"/>
                <w14:textFill>
                  <w14:solidFill>
                    <w14:schemeClr w14:val="bg1"/>
                  </w14:solidFill>
                </w14:textFill>
              </w:rPr>
            </w:pPr>
            <w:r>
              <w:rPr>
                <w:rFonts w:hint="eastAsia" w:asciiTheme="minorEastAsia" w:hAnsiTheme="minorEastAsia" w:eastAsiaTheme="minorEastAsia" w:cstheme="minorEastAsia"/>
                <w:color w:val="000000"/>
                <w:kern w:val="0"/>
                <w:sz w:val="24"/>
                <w:szCs w:val="24"/>
                <w:lang w:val="en-US" w:eastAsia="zh-CN"/>
              </w:rPr>
              <w:t>包含</w:t>
            </w:r>
            <w:r>
              <w:rPr>
                <w:rFonts w:hint="eastAsia" w:asciiTheme="minorEastAsia" w:hAnsiTheme="minorEastAsia" w:eastAsiaTheme="minorEastAsia" w:cstheme="minorEastAsia"/>
                <w:color w:val="000000"/>
                <w:kern w:val="0"/>
                <w:sz w:val="24"/>
                <w:szCs w:val="24"/>
              </w:rPr>
              <w:t>整改任务、任务分解清单、</w:t>
            </w:r>
            <w:r>
              <w:rPr>
                <w:rFonts w:hint="eastAsia" w:asciiTheme="minorEastAsia" w:hAnsiTheme="minorEastAsia" w:eastAsiaTheme="minorEastAsia" w:cstheme="minorEastAsia"/>
                <w:color w:val="000000"/>
                <w:kern w:val="0"/>
                <w:sz w:val="24"/>
                <w:szCs w:val="24"/>
                <w:lang w:val="en-US" w:eastAsia="zh-CN"/>
              </w:rPr>
              <w:t>整改工作方案</w:t>
            </w:r>
            <w:r>
              <w:rPr>
                <w:rFonts w:hint="eastAsia" w:asciiTheme="minorEastAsia" w:hAnsiTheme="minorEastAsia" w:eastAsiaTheme="minorEastAsia" w:cstheme="minorEastAsia"/>
                <w:color w:val="000000"/>
                <w:kern w:val="0"/>
                <w:sz w:val="24"/>
                <w:szCs w:val="24"/>
              </w:rPr>
              <w:t>、整改</w:t>
            </w:r>
            <w:r>
              <w:rPr>
                <w:rFonts w:hint="eastAsia" w:asciiTheme="minorEastAsia" w:hAnsiTheme="minorEastAsia" w:eastAsiaTheme="minorEastAsia" w:cstheme="minorEastAsia"/>
                <w:color w:val="000000"/>
                <w:kern w:val="0"/>
                <w:sz w:val="24"/>
                <w:szCs w:val="24"/>
                <w:lang w:val="en-US" w:eastAsia="zh-CN"/>
              </w:rPr>
              <w:t>工作</w:t>
            </w:r>
            <w:r>
              <w:rPr>
                <w:rFonts w:hint="eastAsia" w:asciiTheme="minorEastAsia" w:hAnsiTheme="minorEastAsia" w:eastAsiaTheme="minorEastAsia" w:cstheme="minorEastAsia"/>
                <w:color w:val="000000"/>
                <w:kern w:val="0"/>
                <w:sz w:val="24"/>
                <w:szCs w:val="24"/>
              </w:rPr>
              <w:t>报告、整改情况跟踪、整改台账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continue"/>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内审整改管理</w:t>
            </w:r>
          </w:p>
        </w:tc>
        <w:tc>
          <w:tcPr>
            <w:tcW w:w="3151" w:type="dxa"/>
            <w:vMerge w:val="continue"/>
            <w:shd w:val="clear" w:color="auto" w:fill="FFFFFF" w:themeFill="background1"/>
          </w:tcPr>
          <w:p>
            <w:pPr>
              <w:widowControl/>
              <w:spacing w:line="360" w:lineRule="auto"/>
              <w:jc w:val="center"/>
              <w:rPr>
                <w:rFonts w:hint="eastAsia" w:asciiTheme="minorEastAsia" w:hAnsiTheme="minorEastAsia" w:eastAsiaTheme="minorEastAsia" w:cstheme="minorEastAsia"/>
                <w:b/>
                <w:color w:val="FFFFFF" w:themeColor="background1"/>
                <w:kern w:val="0"/>
                <w:sz w:val="24"/>
                <w:szCs w:val="24"/>
                <w14:textFill>
                  <w14:solidFill>
                    <w14:schemeClr w14:val="bg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审计项目台账</w:t>
            </w: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lang w:val="en-US" w:eastAsia="zh-CN"/>
              </w:rPr>
              <w:t>审计</w:t>
            </w:r>
            <w:r>
              <w:rPr>
                <w:rFonts w:hint="eastAsia" w:asciiTheme="minorEastAsia" w:hAnsiTheme="minorEastAsia" w:eastAsiaTheme="minorEastAsia" w:cstheme="minorEastAsia"/>
                <w:color w:val="000000"/>
                <w:kern w:val="0"/>
                <w:sz w:val="24"/>
                <w:szCs w:val="24"/>
              </w:rPr>
              <w:t>项目台账</w:t>
            </w:r>
          </w:p>
        </w:tc>
        <w:tc>
          <w:tcPr>
            <w:tcW w:w="3151" w:type="dxa"/>
            <w:shd w:val="clear" w:color="auto" w:fill="FFFFFF" w:themeFill="background1"/>
          </w:tcPr>
          <w:p>
            <w:pPr>
              <w:widowControl/>
              <w:spacing w:line="360" w:lineRule="auto"/>
              <w:jc w:val="left"/>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包含审计项目全生命周期的所有台账资料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restart"/>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审计</w:t>
            </w:r>
            <w:r>
              <w:rPr>
                <w:rFonts w:hint="eastAsia" w:asciiTheme="minorEastAsia" w:hAnsiTheme="minorEastAsia" w:eastAsiaTheme="minorEastAsia" w:cstheme="minorEastAsia"/>
                <w:color w:val="000000"/>
                <w:kern w:val="0"/>
                <w:sz w:val="24"/>
                <w:szCs w:val="24"/>
                <w:lang w:val="en-US" w:eastAsia="zh-CN"/>
              </w:rPr>
              <w:t>法务</w:t>
            </w:r>
            <w:r>
              <w:rPr>
                <w:rFonts w:hint="eastAsia" w:asciiTheme="minorEastAsia" w:hAnsiTheme="minorEastAsia" w:eastAsiaTheme="minorEastAsia" w:cstheme="minorEastAsia"/>
                <w:color w:val="000000"/>
                <w:kern w:val="0"/>
                <w:sz w:val="24"/>
                <w:szCs w:val="24"/>
              </w:rPr>
              <w:t>资源管理</w:t>
            </w: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lang w:val="en-US" w:eastAsia="zh-CN"/>
              </w:rPr>
              <w:t>中介机构</w:t>
            </w:r>
            <w:r>
              <w:rPr>
                <w:rFonts w:hint="eastAsia" w:asciiTheme="minorEastAsia" w:hAnsiTheme="minorEastAsia" w:eastAsiaTheme="minorEastAsia" w:cstheme="minorEastAsia"/>
                <w:color w:val="000000"/>
                <w:kern w:val="0"/>
                <w:sz w:val="24"/>
                <w:szCs w:val="24"/>
              </w:rPr>
              <w:t>管理</w:t>
            </w:r>
          </w:p>
        </w:tc>
        <w:tc>
          <w:tcPr>
            <w:tcW w:w="3151" w:type="dxa"/>
            <w:shd w:val="clear" w:color="auto" w:fill="FFFFFF" w:themeFill="background1"/>
          </w:tcPr>
          <w:p>
            <w:pPr>
              <w:widowControl/>
              <w:spacing w:line="360" w:lineRule="auto"/>
              <w:jc w:val="center"/>
              <w:rPr>
                <w:rFonts w:hint="eastAsia" w:asciiTheme="minorEastAsia" w:hAnsiTheme="minorEastAsia" w:eastAsiaTheme="minorEastAsia" w:cstheme="minorEastAsia"/>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continue"/>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中介人员管理</w:t>
            </w:r>
          </w:p>
        </w:tc>
        <w:tc>
          <w:tcPr>
            <w:tcW w:w="3151" w:type="dxa"/>
            <w:tcBorders>
              <w:bottom w:val="single" w:color="auto" w:sz="4" w:space="0"/>
            </w:tcBorders>
            <w:shd w:val="clear" w:color="auto" w:fill="FFFFFF" w:themeFill="background1"/>
          </w:tcPr>
          <w:p>
            <w:pPr>
              <w:widowControl/>
              <w:spacing w:line="360" w:lineRule="auto"/>
              <w:jc w:val="center"/>
              <w:rPr>
                <w:rFonts w:hint="eastAsia" w:asciiTheme="minorEastAsia" w:hAnsiTheme="minorEastAsia" w:eastAsiaTheme="minorEastAsia" w:cstheme="minorEastAsia"/>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continue"/>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p>
        </w:tc>
        <w:tc>
          <w:tcPr>
            <w:tcW w:w="3603" w:type="dxa"/>
            <w:shd w:val="clear" w:color="000000" w:fill="FFFFFF"/>
            <w:vAlign w:val="center"/>
          </w:tcPr>
          <w:p>
            <w:pPr>
              <w:widowControl/>
              <w:spacing w:line="360" w:lineRule="auto"/>
              <w:jc w:val="center"/>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服务质量评价</w:t>
            </w:r>
          </w:p>
        </w:tc>
        <w:tc>
          <w:tcPr>
            <w:tcW w:w="3151" w:type="dxa"/>
            <w:tcBorders>
              <w:bottom w:val="single" w:color="auto" w:sz="4" w:space="0"/>
            </w:tcBorders>
            <w:shd w:val="clear" w:color="auto" w:fill="FFFFFF" w:themeFill="background1"/>
          </w:tcPr>
          <w:p>
            <w:pPr>
              <w:widowControl/>
              <w:spacing w:line="360" w:lineRule="auto"/>
              <w:jc w:val="center"/>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包含服务记录和服务评价管理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restart"/>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法务合规管理</w:t>
            </w: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案件</w:t>
            </w:r>
            <w:r>
              <w:rPr>
                <w:rFonts w:hint="eastAsia" w:asciiTheme="minorEastAsia" w:hAnsiTheme="minorEastAsia" w:eastAsiaTheme="minorEastAsia" w:cstheme="minorEastAsia"/>
                <w:color w:val="000000"/>
                <w:kern w:val="0"/>
                <w:sz w:val="24"/>
                <w:szCs w:val="24"/>
                <w:lang w:val="en-US" w:eastAsia="zh-CN"/>
              </w:rPr>
              <w:t>纠纷管理</w:t>
            </w:r>
          </w:p>
        </w:tc>
        <w:tc>
          <w:tcPr>
            <w:tcW w:w="3151" w:type="dxa"/>
            <w:tcBorders>
              <w:bottom w:val="single" w:color="auto" w:sz="4" w:space="0"/>
            </w:tcBorders>
            <w:shd w:val="clear" w:color="auto" w:fill="FFFFFF" w:themeFill="background1"/>
          </w:tcPr>
          <w:p>
            <w:pPr>
              <w:widowControl/>
              <w:spacing w:line="360" w:lineRule="auto"/>
              <w:jc w:val="left"/>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包含案件管理、纠纷管理和案件纠纷库管理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continue"/>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履职评价</w:t>
            </w:r>
            <w:r>
              <w:rPr>
                <w:rFonts w:hint="eastAsia" w:asciiTheme="minorEastAsia" w:hAnsiTheme="minorEastAsia" w:eastAsiaTheme="minorEastAsia" w:cstheme="minorEastAsia"/>
                <w:color w:val="000000"/>
                <w:kern w:val="0"/>
                <w:sz w:val="24"/>
                <w:szCs w:val="24"/>
                <w:lang w:val="en-US" w:eastAsia="zh-CN"/>
              </w:rPr>
              <w:t>管理</w:t>
            </w:r>
          </w:p>
        </w:tc>
        <w:tc>
          <w:tcPr>
            <w:tcW w:w="3151" w:type="dxa"/>
            <w:tcBorders>
              <w:bottom w:val="single" w:color="auto" w:sz="4" w:space="0"/>
            </w:tcBorders>
            <w:shd w:val="clear" w:color="auto" w:fill="FFFFFF" w:themeFill="background1"/>
          </w:tcPr>
          <w:p>
            <w:pPr>
              <w:widowControl/>
              <w:spacing w:line="360" w:lineRule="auto"/>
              <w:jc w:val="left"/>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包含合规履职评价标准管理和评价管理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continue"/>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法务合规库</w:t>
            </w:r>
          </w:p>
        </w:tc>
        <w:tc>
          <w:tcPr>
            <w:tcW w:w="3151" w:type="dxa"/>
            <w:tcBorders>
              <w:bottom w:val="single" w:color="auto" w:sz="4" w:space="0"/>
            </w:tcBorders>
            <w:shd w:val="clear" w:color="auto" w:fill="FFFFFF" w:themeFill="background1"/>
          </w:tcPr>
          <w:p>
            <w:pPr>
              <w:widowControl/>
              <w:spacing w:line="360" w:lineRule="auto"/>
              <w:jc w:val="left"/>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包含合规库和合同库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restart"/>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rPr>
              <w:t>监事会</w:t>
            </w:r>
            <w:r>
              <w:rPr>
                <w:rFonts w:hint="eastAsia" w:asciiTheme="minorEastAsia" w:hAnsiTheme="minorEastAsia" w:eastAsiaTheme="minorEastAsia" w:cstheme="minorEastAsia"/>
                <w:color w:val="000000"/>
                <w:kern w:val="0"/>
                <w:sz w:val="24"/>
                <w:szCs w:val="24"/>
                <w:lang w:val="en-US" w:eastAsia="zh-CN"/>
              </w:rPr>
              <w:t>监督管理</w:t>
            </w: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lang w:val="en-US" w:eastAsia="zh-CN"/>
              </w:rPr>
              <w:t>监督检查</w:t>
            </w:r>
            <w:r>
              <w:rPr>
                <w:rFonts w:hint="eastAsia" w:asciiTheme="minorEastAsia" w:hAnsiTheme="minorEastAsia" w:eastAsiaTheme="minorEastAsia" w:cstheme="minorEastAsia"/>
                <w:color w:val="000000"/>
                <w:kern w:val="0"/>
                <w:sz w:val="24"/>
                <w:szCs w:val="24"/>
              </w:rPr>
              <w:t>管理</w:t>
            </w:r>
          </w:p>
        </w:tc>
        <w:tc>
          <w:tcPr>
            <w:tcW w:w="3151" w:type="dxa"/>
            <w:tcBorders>
              <w:bottom w:val="single" w:color="auto" w:sz="4" w:space="0"/>
            </w:tcBorders>
            <w:shd w:val="clear" w:color="auto" w:fill="FFFFFF" w:themeFill="background1"/>
          </w:tcPr>
          <w:p>
            <w:pPr>
              <w:widowControl/>
              <w:spacing w:line="360" w:lineRule="auto"/>
              <w:jc w:val="left"/>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包含集中监督检查管理和专项监督检查管理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46" w:type="dxa"/>
            <w:vMerge w:val="continue"/>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lang w:val="en-US" w:eastAsia="zh-CN"/>
              </w:rPr>
              <w:t>专报</w:t>
            </w:r>
            <w:r>
              <w:rPr>
                <w:rFonts w:hint="eastAsia" w:asciiTheme="minorEastAsia" w:hAnsiTheme="minorEastAsia" w:eastAsiaTheme="minorEastAsia" w:cstheme="minorEastAsia"/>
                <w:color w:val="000000"/>
                <w:kern w:val="0"/>
                <w:sz w:val="24"/>
                <w:szCs w:val="24"/>
              </w:rPr>
              <w:t>管理</w:t>
            </w:r>
          </w:p>
        </w:tc>
        <w:tc>
          <w:tcPr>
            <w:tcW w:w="3151" w:type="dxa"/>
            <w:tcBorders>
              <w:bottom w:val="single" w:color="auto" w:sz="4" w:space="0"/>
            </w:tcBorders>
            <w:shd w:val="clear" w:color="auto" w:fill="FFFFFF" w:themeFill="background1"/>
          </w:tcPr>
          <w:p>
            <w:pPr>
              <w:widowControl/>
              <w:spacing w:line="360" w:lineRule="auto"/>
              <w:jc w:val="left"/>
              <w:rPr>
                <w:rFonts w:hint="eastAsia" w:asciiTheme="minorEastAsia" w:hAnsiTheme="minorEastAsia" w:eastAsiaTheme="minorEastAsia" w:cstheme="minorEastAsia"/>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continue"/>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p>
        </w:tc>
        <w:tc>
          <w:tcPr>
            <w:tcW w:w="3603" w:type="dxa"/>
            <w:shd w:val="clear" w:color="000000" w:fill="FFFFFF"/>
            <w:vAlign w:val="center"/>
          </w:tcPr>
          <w:p>
            <w:pPr>
              <w:widowControl/>
              <w:spacing w:line="360" w:lineRule="auto"/>
              <w:jc w:val="center"/>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问题台账管理</w:t>
            </w:r>
          </w:p>
        </w:tc>
        <w:tc>
          <w:tcPr>
            <w:tcW w:w="3151" w:type="dxa"/>
            <w:tcBorders>
              <w:bottom w:val="single" w:color="auto" w:sz="4" w:space="0"/>
            </w:tcBorders>
            <w:shd w:val="clear" w:color="auto" w:fill="FFFFFF" w:themeFill="background1"/>
          </w:tcPr>
          <w:p>
            <w:pPr>
              <w:widowControl/>
              <w:spacing w:line="360" w:lineRule="auto"/>
              <w:jc w:val="left"/>
              <w:rPr>
                <w:rFonts w:hint="eastAsia" w:asciiTheme="minorEastAsia" w:hAnsiTheme="minorEastAsia" w:eastAsiaTheme="minorEastAsia" w:cstheme="minorEastAsia"/>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restart"/>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内控风险管理</w:t>
            </w: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违规经营追责管理</w:t>
            </w:r>
          </w:p>
        </w:tc>
        <w:tc>
          <w:tcPr>
            <w:tcW w:w="3151" w:type="dxa"/>
            <w:tcBorders>
              <w:bottom w:val="single" w:color="auto" w:sz="4" w:space="0"/>
            </w:tcBorders>
            <w:shd w:val="clear" w:color="auto" w:fill="FFFFFF" w:themeFill="background1"/>
          </w:tcPr>
          <w:p>
            <w:pPr>
              <w:widowControl/>
              <w:spacing w:line="360" w:lineRule="auto"/>
              <w:jc w:val="center"/>
              <w:rPr>
                <w:rFonts w:hint="eastAsia" w:asciiTheme="minorEastAsia" w:hAnsiTheme="minorEastAsia" w:eastAsiaTheme="minorEastAsia" w:cstheme="minorEastAsia"/>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continue"/>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重大经营风险管理</w:t>
            </w:r>
          </w:p>
        </w:tc>
        <w:tc>
          <w:tcPr>
            <w:tcW w:w="3151" w:type="dxa"/>
            <w:tcBorders>
              <w:bottom w:val="single" w:color="auto" w:sz="4" w:space="0"/>
            </w:tcBorders>
            <w:shd w:val="clear" w:color="auto" w:fill="FFFFFF" w:themeFill="background1"/>
          </w:tcPr>
          <w:p>
            <w:pPr>
              <w:widowControl/>
              <w:spacing w:line="360" w:lineRule="auto"/>
              <w:jc w:val="center"/>
              <w:rPr>
                <w:rFonts w:hint="eastAsia" w:asciiTheme="minorEastAsia" w:hAnsiTheme="minorEastAsia" w:eastAsiaTheme="minorEastAsia" w:cstheme="minorEastAsia"/>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continue"/>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制度执行</w:t>
            </w:r>
            <w:r>
              <w:rPr>
                <w:rFonts w:hint="eastAsia" w:asciiTheme="minorEastAsia" w:hAnsiTheme="minorEastAsia" w:eastAsiaTheme="minorEastAsia" w:cstheme="minorEastAsia"/>
                <w:color w:val="000000"/>
                <w:kern w:val="0"/>
                <w:sz w:val="24"/>
                <w:szCs w:val="24"/>
                <w:lang w:val="en-US" w:eastAsia="zh-CN"/>
              </w:rPr>
              <w:t>自查</w:t>
            </w:r>
            <w:r>
              <w:rPr>
                <w:rFonts w:hint="eastAsia" w:asciiTheme="minorEastAsia" w:hAnsiTheme="minorEastAsia" w:eastAsiaTheme="minorEastAsia" w:cstheme="minorEastAsia"/>
                <w:color w:val="000000"/>
                <w:kern w:val="0"/>
                <w:sz w:val="24"/>
                <w:szCs w:val="24"/>
              </w:rPr>
              <w:t>管理</w:t>
            </w:r>
          </w:p>
        </w:tc>
        <w:tc>
          <w:tcPr>
            <w:tcW w:w="3151" w:type="dxa"/>
            <w:tcBorders>
              <w:bottom w:val="single" w:color="auto" w:sz="4" w:space="0"/>
            </w:tcBorders>
            <w:shd w:val="clear" w:color="auto" w:fill="FFFFFF" w:themeFill="background1"/>
          </w:tcPr>
          <w:p>
            <w:pPr>
              <w:widowControl/>
              <w:spacing w:line="360" w:lineRule="auto"/>
              <w:jc w:val="center"/>
              <w:rPr>
                <w:rFonts w:hint="eastAsia" w:asciiTheme="minorEastAsia" w:hAnsiTheme="minorEastAsia" w:eastAsiaTheme="minorEastAsia" w:cstheme="minorEastAsia"/>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continue"/>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风险管理</w:t>
            </w:r>
          </w:p>
        </w:tc>
        <w:tc>
          <w:tcPr>
            <w:tcW w:w="3151" w:type="dxa"/>
            <w:shd w:val="clear" w:color="auto" w:fill="FFFFFF" w:themeFill="background1"/>
          </w:tcPr>
          <w:p>
            <w:pPr>
              <w:widowControl/>
              <w:spacing w:line="360" w:lineRule="auto"/>
              <w:jc w:val="center"/>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包含风险预警和风险库管理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restart"/>
            <w:shd w:val="clear" w:color="000000" w:fill="FFFFFF"/>
            <w:vAlign w:val="center"/>
          </w:tcPr>
          <w:p>
            <w:pPr>
              <w:widowControl/>
              <w:spacing w:line="360" w:lineRule="auto"/>
              <w:jc w:val="center"/>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日常管理</w:t>
            </w:r>
          </w:p>
        </w:tc>
        <w:tc>
          <w:tcPr>
            <w:tcW w:w="3603" w:type="dxa"/>
            <w:shd w:val="clear" w:color="000000" w:fill="FFFFFF"/>
            <w:vAlign w:val="center"/>
          </w:tcPr>
          <w:p>
            <w:pPr>
              <w:widowControl/>
              <w:spacing w:line="360" w:lineRule="auto"/>
              <w:jc w:val="center"/>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工作周报管理</w:t>
            </w:r>
          </w:p>
        </w:tc>
        <w:tc>
          <w:tcPr>
            <w:tcW w:w="3151" w:type="dxa"/>
            <w:shd w:val="clear" w:color="auto" w:fill="FFFFFF" w:themeFill="background1"/>
          </w:tcPr>
          <w:p>
            <w:pPr>
              <w:widowControl/>
              <w:spacing w:line="360" w:lineRule="auto"/>
              <w:jc w:val="center"/>
              <w:rPr>
                <w:rFonts w:hint="eastAsia" w:asciiTheme="minorEastAsia" w:hAnsiTheme="minorEastAsia" w:eastAsiaTheme="minorEastAsia" w:cstheme="minorEastAsia"/>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continue"/>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lang w:val="en-US" w:eastAsia="zh-CN"/>
              </w:rPr>
            </w:pPr>
          </w:p>
        </w:tc>
        <w:tc>
          <w:tcPr>
            <w:tcW w:w="3603" w:type="dxa"/>
            <w:shd w:val="clear" w:color="000000" w:fill="FFFFFF"/>
            <w:vAlign w:val="center"/>
          </w:tcPr>
          <w:p>
            <w:pPr>
              <w:widowControl/>
              <w:spacing w:line="360" w:lineRule="auto"/>
              <w:jc w:val="center"/>
              <w:rPr>
                <w:rFonts w:hint="default"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color w:val="000000"/>
                <w:kern w:val="0"/>
                <w:sz w:val="24"/>
                <w:szCs w:val="24"/>
                <w:lang w:val="en-US" w:eastAsia="zh-CN"/>
              </w:rPr>
              <w:t>工作月报管理</w:t>
            </w:r>
          </w:p>
        </w:tc>
        <w:tc>
          <w:tcPr>
            <w:tcW w:w="3151" w:type="dxa"/>
            <w:shd w:val="clear" w:color="auto" w:fill="FFFFFF" w:themeFill="background1"/>
          </w:tcPr>
          <w:p>
            <w:pPr>
              <w:widowControl/>
              <w:spacing w:line="360" w:lineRule="auto"/>
              <w:jc w:val="center"/>
              <w:rPr>
                <w:rFonts w:hint="eastAsia" w:asciiTheme="minorEastAsia" w:hAnsiTheme="minorEastAsia" w:eastAsiaTheme="minorEastAsia" w:cstheme="minorEastAsia"/>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restart"/>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rPr>
              <w:t>系统管理</w:t>
            </w: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rPr>
              <w:t>用户管理</w:t>
            </w:r>
          </w:p>
        </w:tc>
        <w:tc>
          <w:tcPr>
            <w:tcW w:w="3151" w:type="dxa"/>
            <w:shd w:val="clear" w:color="auto" w:fill="FFFFFF" w:themeFill="background1"/>
          </w:tcPr>
          <w:p>
            <w:pPr>
              <w:widowControl/>
              <w:spacing w:line="360" w:lineRule="auto"/>
              <w:jc w:val="center"/>
              <w:rPr>
                <w:rFonts w:hint="eastAsia" w:asciiTheme="minorEastAsia" w:hAnsiTheme="minorEastAsia" w:eastAsiaTheme="minorEastAsia" w:cstheme="minorEastAsia"/>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continue"/>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b/>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rPr>
              <w:t>角色管理</w:t>
            </w:r>
          </w:p>
        </w:tc>
        <w:tc>
          <w:tcPr>
            <w:tcW w:w="3151" w:type="dxa"/>
            <w:shd w:val="clear" w:color="auto" w:fill="FFFFFF" w:themeFill="background1"/>
          </w:tcPr>
          <w:p>
            <w:pPr>
              <w:widowControl/>
              <w:spacing w:line="360" w:lineRule="auto"/>
              <w:jc w:val="center"/>
              <w:rPr>
                <w:rFonts w:hint="eastAsia" w:asciiTheme="minorEastAsia" w:hAnsiTheme="minorEastAsia" w:eastAsiaTheme="minorEastAsia" w:cstheme="minorEastAsia"/>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continue"/>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b/>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rPr>
              <w:t>权限管理</w:t>
            </w:r>
          </w:p>
        </w:tc>
        <w:tc>
          <w:tcPr>
            <w:tcW w:w="3151" w:type="dxa"/>
            <w:shd w:val="clear" w:color="auto" w:fill="FFFFFF" w:themeFill="background1"/>
          </w:tcPr>
          <w:p>
            <w:pPr>
              <w:widowControl/>
              <w:spacing w:line="360" w:lineRule="auto"/>
              <w:jc w:val="center"/>
              <w:rPr>
                <w:rFonts w:hint="eastAsia" w:asciiTheme="minorEastAsia" w:hAnsiTheme="minorEastAsia" w:eastAsiaTheme="minorEastAsia" w:cstheme="minorEastAsia"/>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continue"/>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b/>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rPr>
              <w:t>组织架构</w:t>
            </w:r>
          </w:p>
        </w:tc>
        <w:tc>
          <w:tcPr>
            <w:tcW w:w="3151" w:type="dxa"/>
            <w:shd w:val="clear" w:color="auto" w:fill="FFFFFF" w:themeFill="background1"/>
          </w:tcPr>
          <w:p>
            <w:pPr>
              <w:widowControl/>
              <w:spacing w:line="360" w:lineRule="auto"/>
              <w:jc w:val="center"/>
              <w:rPr>
                <w:rFonts w:hint="eastAsia" w:asciiTheme="minorEastAsia" w:hAnsiTheme="minorEastAsia" w:eastAsiaTheme="minorEastAsia" w:cstheme="minorEastAsia"/>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2246" w:type="dxa"/>
            <w:vMerge w:val="continue"/>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p>
        </w:tc>
        <w:tc>
          <w:tcPr>
            <w:tcW w:w="3603" w:type="dxa"/>
            <w:shd w:val="clear" w:color="000000" w:fill="FFFFFF"/>
            <w:vAlign w:val="center"/>
          </w:tcPr>
          <w:p>
            <w:pPr>
              <w:widowControl/>
              <w:spacing w:line="360" w:lineRule="auto"/>
              <w:jc w:val="center"/>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rPr>
              <w:t>日志管理</w:t>
            </w:r>
          </w:p>
        </w:tc>
        <w:tc>
          <w:tcPr>
            <w:tcW w:w="3151" w:type="dxa"/>
            <w:tcBorders>
              <w:bottom w:val="single" w:color="auto" w:sz="4" w:space="0"/>
            </w:tcBorders>
            <w:shd w:val="clear" w:color="auto" w:fill="FFFFFF" w:themeFill="background1"/>
          </w:tcPr>
          <w:p>
            <w:pPr>
              <w:widowControl/>
              <w:spacing w:line="360" w:lineRule="auto"/>
              <w:jc w:val="center"/>
              <w:rPr>
                <w:rFonts w:hint="eastAsia" w:asciiTheme="minorEastAsia" w:hAnsiTheme="minorEastAsia" w:eastAsiaTheme="minorEastAsia" w:cstheme="minorEastAsia"/>
                <w:color w:val="000000"/>
                <w:kern w:val="0"/>
                <w:sz w:val="24"/>
                <w:szCs w:val="24"/>
              </w:rPr>
            </w:pPr>
          </w:p>
        </w:tc>
      </w:tr>
    </w:tbl>
    <w:p>
      <w:pPr>
        <w:spacing w:line="360" w:lineRule="auto"/>
        <w:ind w:firstLine="420"/>
        <w:jc w:val="left"/>
        <w:rPr>
          <w:rFonts w:cs="宋体" w:asciiTheme="minorEastAsia" w:hAnsiTheme="minorEastAsia" w:eastAsiaTheme="minorEastAsia"/>
          <w:sz w:val="24"/>
          <w:szCs w:val="24"/>
        </w:rPr>
      </w:pPr>
    </w:p>
    <w:p>
      <w:pPr>
        <w:pStyle w:val="4"/>
        <w:rPr>
          <w:rFonts w:cs="宋体" w:asciiTheme="minorEastAsia" w:hAnsiTheme="minorEastAsia" w:eastAsiaTheme="minorEastAsia"/>
          <w:sz w:val="24"/>
          <w:szCs w:val="24"/>
        </w:rPr>
      </w:pPr>
      <w:bookmarkStart w:id="5" w:name="_Toc24361"/>
      <w:r>
        <w:rPr>
          <w:rFonts w:hint="eastAsia" w:cs="宋体" w:asciiTheme="minorEastAsia" w:hAnsiTheme="minorEastAsia" w:eastAsiaTheme="minorEastAsia"/>
          <w:sz w:val="24"/>
          <w:szCs w:val="24"/>
        </w:rPr>
        <w:t>业务现状分析</w:t>
      </w:r>
      <w:bookmarkEnd w:id="5"/>
    </w:p>
    <w:p>
      <w:pPr>
        <w:pStyle w:val="6"/>
        <w:rPr>
          <w:rFonts w:hint="eastAsia" w:cs="Times New Roman" w:asciiTheme="minorEastAsia" w:hAnsiTheme="minorEastAsia" w:eastAsiaTheme="minorEastAsia"/>
          <w:b/>
          <w:bCs/>
          <w:kern w:val="2"/>
          <w:sz w:val="24"/>
          <w:szCs w:val="24"/>
          <w:lang w:val="en-US" w:eastAsia="zh-CN" w:bidi="ar-SA"/>
        </w:rPr>
      </w:pPr>
      <w:bookmarkStart w:id="6" w:name="_Toc11843"/>
      <w:r>
        <w:rPr>
          <w:rFonts w:hint="eastAsia" w:cs="Times New Roman" w:asciiTheme="minorEastAsia" w:hAnsiTheme="minorEastAsia" w:eastAsiaTheme="minorEastAsia"/>
          <w:b/>
          <w:bCs/>
          <w:kern w:val="2"/>
          <w:sz w:val="24"/>
          <w:szCs w:val="24"/>
          <w:lang w:val="en-US" w:eastAsia="zh-CN" w:bidi="ar-SA"/>
        </w:rPr>
        <w:t>审计计划管理</w:t>
      </w:r>
      <w:bookmarkEnd w:id="6"/>
    </w:p>
    <w:p>
      <w:pPr>
        <w:pStyle w:val="7"/>
        <w:rPr>
          <w:rFonts w:asciiTheme="minorEastAsia" w:hAnsiTheme="minorEastAsia" w:eastAsiaTheme="minorEastAsia"/>
        </w:rPr>
      </w:pPr>
      <w:bookmarkStart w:id="7" w:name="_Toc13184"/>
      <w:r>
        <w:rPr>
          <w:rFonts w:hint="eastAsia" w:cs="宋体" w:asciiTheme="minorEastAsia" w:hAnsiTheme="minorEastAsia" w:eastAsiaTheme="minorEastAsia"/>
        </w:rPr>
        <w:t>业务状况</w:t>
      </w:r>
      <w:bookmarkEnd w:id="7"/>
    </w:p>
    <w:p>
      <w:pPr>
        <w:keepNext w:val="0"/>
        <w:keepLines w:val="0"/>
        <w:pageBreakBefore w:val="0"/>
        <w:widowControl w:val="0"/>
        <w:kinsoku/>
        <w:wordWrap/>
        <w:overflowPunct/>
        <w:topLinePunct w:val="0"/>
        <w:autoSpaceDE/>
        <w:autoSpaceDN/>
        <w:bidi w:val="0"/>
        <w:adjustRightInd/>
        <w:snapToGrid/>
        <w:spacing w:line="360" w:lineRule="auto"/>
        <w:ind w:firstLine="420"/>
        <w:jc w:val="left"/>
        <w:textAlignment w:val="auto"/>
        <w:rPr>
          <w:rFonts w:hint="default" w:cs="宋体" w:asciiTheme="minorEastAsia" w:hAnsiTheme="minorEastAsia" w:eastAsiaTheme="minorEastAsia"/>
          <w:sz w:val="24"/>
          <w:szCs w:val="24"/>
          <w:lang w:val="en-US"/>
        </w:rPr>
      </w:pPr>
      <w:r>
        <w:rPr>
          <w:rFonts w:cs="宋体" w:asciiTheme="minorEastAsia" w:hAnsiTheme="minorEastAsia" w:eastAsiaTheme="minorEastAsia"/>
          <w:sz w:val="24"/>
          <w:szCs w:val="24"/>
        </w:rPr>
        <w:t xml:space="preserve"> </w:t>
      </w:r>
      <w:r>
        <w:rPr>
          <w:rFonts w:hint="eastAsia" w:asciiTheme="minorEastAsia" w:hAnsiTheme="minorEastAsia" w:eastAsiaTheme="minorEastAsia" w:cstheme="minorEastAsia"/>
          <w:sz w:val="24"/>
          <w:szCs w:val="24"/>
          <w:lang w:val="en-US" w:eastAsia="zh-CN"/>
        </w:rPr>
        <w:t>内部审计项目需编制审计计划，审计计划包括年度审计计划和项目审计方案，年度审计计划由审计法务部于每年12月底依据内部审计工作规划、集团年度工作重点、审计监督关注重点及审计资源情况等，确定具体的审计项目，编制下一年度审计计划。年度审计计划需经集团董事长审核同意，党委会研究讨论、董事会审议通过后组织实施。</w:t>
      </w:r>
    </w:p>
    <w:p>
      <w:pPr>
        <w:pStyle w:val="7"/>
        <w:rPr>
          <w:rFonts w:cs="宋体" w:asciiTheme="minorEastAsia" w:hAnsiTheme="minorEastAsia" w:eastAsiaTheme="minorEastAsia"/>
        </w:rPr>
      </w:pPr>
      <w:bookmarkStart w:id="8" w:name="_Toc10252"/>
      <w:r>
        <w:rPr>
          <w:rFonts w:hint="eastAsia" w:cs="宋体" w:asciiTheme="minorEastAsia" w:hAnsiTheme="minorEastAsia" w:eastAsiaTheme="minorEastAsia"/>
        </w:rPr>
        <w:t>业务基本需求</w:t>
      </w:r>
      <w:bookmarkEnd w:id="8"/>
    </w:p>
    <w:p>
      <w:pPr>
        <w:pStyle w:val="5"/>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审计计划包括年度审计计划和项目审计方案，年度审计由内部审计机构于每年12月底前依据内部审计工作规划、集团年度工作重点、审计监督关注重点及审计资源情况编制下一年度的审计项目和计划，涉及经济责任的审计项目需征求集团财务等相关部门意见。</w:t>
      </w:r>
    </w:p>
    <w:p>
      <w:pPr>
        <w:pStyle w:val="5"/>
        <w:rPr>
          <w:rFonts w:hint="default"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年度审计计划应由集团董事长审核同意、提交党委会研究讨论、董事会审议通过后组织实施。业务基本需求如下：</w:t>
      </w:r>
    </w:p>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20" w:firstLineChars="0"/>
        <w:textAlignment w:val="baseline"/>
        <w:rPr>
          <w:rFonts w:hint="default" w:asciiTheme="minorEastAsia" w:hAnsiTheme="minorEastAsia" w:eastAsiaTheme="minorEastAsia"/>
          <w:sz w:val="24"/>
          <w:szCs w:val="24"/>
          <w:lang w:val="en-US"/>
        </w:rPr>
      </w:pPr>
      <w:r>
        <w:rPr>
          <w:rFonts w:hint="eastAsia" w:asciiTheme="minorEastAsia" w:hAnsiTheme="minorEastAsia" w:eastAsiaTheme="minorEastAsia"/>
          <w:sz w:val="24"/>
          <w:szCs w:val="24"/>
          <w:lang w:val="en-US" w:eastAsia="zh-CN"/>
        </w:rPr>
        <w:t>1.实现内部项目年度审计计划编制和更新管理，支持年度审计计划在线编制，包含审计工作目标、审计项目、审计实施时间、审计项目所需资源等信息。</w:t>
      </w:r>
    </w:p>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20" w:firstLineChars="0"/>
        <w:textAlignment w:val="baseline"/>
        <w:rPr>
          <w:rFonts w:hint="default" w:asciiTheme="minorEastAsia" w:hAnsiTheme="minorEastAsia" w:eastAsiaTheme="minorEastAsia"/>
          <w:sz w:val="24"/>
          <w:szCs w:val="24"/>
          <w:lang w:val="en-US"/>
        </w:rPr>
      </w:pP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实现</w:t>
      </w:r>
      <w:r>
        <w:rPr>
          <w:rFonts w:hint="eastAsia" w:asciiTheme="minorEastAsia" w:hAnsiTheme="minorEastAsia" w:eastAsiaTheme="minorEastAsia"/>
          <w:sz w:val="24"/>
          <w:szCs w:val="24"/>
          <w:lang w:val="en-US" w:eastAsia="zh-CN"/>
        </w:rPr>
        <w:t>内部项目年度审计计划审批管理，支持年度审计计划在线审批功能，包含同意、不同意、驳回操作。</w:t>
      </w:r>
    </w:p>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20" w:firstLineChars="0"/>
        <w:textAlignment w:val="baseline"/>
        <w:rPr>
          <w:rFonts w:hint="default" w:asciiTheme="minorEastAsia" w:hAnsiTheme="minorEastAsia" w:eastAsiaTheme="minorEastAsia"/>
          <w:sz w:val="24"/>
          <w:szCs w:val="24"/>
          <w:lang w:val="en-US"/>
        </w:rPr>
      </w:pPr>
      <w:r>
        <w:rPr>
          <w:rFonts w:hint="eastAsia" w:asciiTheme="minorEastAsia" w:hAnsiTheme="minorEastAsia" w:eastAsiaTheme="minorEastAsia"/>
          <w:sz w:val="24"/>
          <w:szCs w:val="24"/>
          <w:lang w:val="en-US" w:eastAsia="zh-CN"/>
        </w:rPr>
        <w:t>3.实现内部项目年度审计计划执行跟踪管理，支持对年度审计计划的状态进行跟踪，年度审计计划状态包含起草、审批中、执行中、已完结等状态。</w:t>
      </w:r>
    </w:p>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20" w:firstLineChars="0"/>
        <w:textAlignment w:val="baseline"/>
        <w:rPr>
          <w:rFonts w:hint="default" w:asciiTheme="minorEastAsia" w:hAnsiTheme="minorEastAsia" w:eastAsiaTheme="minorEastAsia"/>
          <w:sz w:val="24"/>
          <w:szCs w:val="24"/>
          <w:lang w:val="en-US"/>
        </w:rPr>
      </w:pPr>
      <w:r>
        <w:rPr>
          <w:rFonts w:hint="eastAsia" w:asciiTheme="minorEastAsia" w:hAnsiTheme="minorEastAsia" w:eastAsiaTheme="minorEastAsia"/>
          <w:sz w:val="24"/>
          <w:szCs w:val="24"/>
          <w:lang w:val="en-US" w:eastAsia="zh-CN"/>
        </w:rPr>
        <w:t>4.实现内部项目审计方案编制管理，包含被审计对象、审计项目名称、审计内容和重点、审计步骤和方法、审计组成员等信息的管理维护。</w:t>
      </w:r>
    </w:p>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20" w:firstLineChars="0"/>
        <w:textAlignment w:val="baseline"/>
        <w:rPr>
          <w:rFonts w:hint="default" w:asciiTheme="minorEastAsia" w:hAnsiTheme="minorEastAsia" w:eastAsiaTheme="minorEastAsia"/>
          <w:sz w:val="24"/>
          <w:szCs w:val="24"/>
          <w:lang w:val="en-US"/>
        </w:rPr>
      </w:pPr>
      <w:r>
        <w:rPr>
          <w:rFonts w:hint="eastAsia" w:asciiTheme="minorEastAsia" w:hAnsiTheme="minorEastAsia" w:eastAsiaTheme="minorEastAsia"/>
          <w:sz w:val="24"/>
          <w:szCs w:val="24"/>
          <w:lang w:val="en-US" w:eastAsia="zh-CN"/>
        </w:rPr>
        <w:t>5.实现内部项目审计方案审批管理，支持项目审计方案在线审批功能，包含同意、不同意、驳回操作。</w:t>
      </w:r>
    </w:p>
    <w:p>
      <w:pPr>
        <w:pStyle w:val="7"/>
        <w:rPr>
          <w:rFonts w:cs="宋体" w:asciiTheme="minorEastAsia" w:hAnsiTheme="minorEastAsia" w:eastAsiaTheme="minorEastAsia"/>
        </w:rPr>
      </w:pPr>
      <w:bookmarkStart w:id="9" w:name="_Toc11852"/>
      <w:r>
        <w:rPr>
          <w:rFonts w:hint="eastAsia" w:cs="宋体" w:asciiTheme="minorEastAsia" w:hAnsiTheme="minorEastAsia" w:eastAsiaTheme="minorEastAsia"/>
        </w:rPr>
        <w:t>详细需求说明</w:t>
      </w:r>
      <w:bookmarkEnd w:id="9"/>
    </w:p>
    <w:p>
      <w:pPr>
        <w:pStyle w:val="8"/>
        <w:rPr>
          <w:rFonts w:asciiTheme="minorEastAsia" w:hAnsiTheme="minorEastAsia" w:eastAsiaTheme="minorEastAsia"/>
          <w:sz w:val="24"/>
          <w:szCs w:val="24"/>
        </w:rPr>
      </w:pPr>
      <w:r>
        <w:rPr>
          <w:rFonts w:hint="eastAsia" w:asciiTheme="minorEastAsia" w:hAnsiTheme="minorEastAsia" w:eastAsiaTheme="minorEastAsia"/>
          <w:sz w:val="24"/>
          <w:szCs w:val="24"/>
        </w:rPr>
        <w:t>业务场景</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5652"/>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shd w:val="clear" w:color="auto" w:fill="D7D7D7" w:themeFill="background1" w:themeFillShade="D8"/>
            <w:vAlign w:val="center"/>
          </w:tcPr>
          <w:p>
            <w:pPr>
              <w:pStyle w:val="5"/>
              <w:ind w:left="0" w:leftChars="0" w:firstLine="0" w:firstLineChars="0"/>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阶段</w:t>
            </w:r>
          </w:p>
        </w:tc>
        <w:tc>
          <w:tcPr>
            <w:tcW w:w="5652" w:type="dxa"/>
            <w:shd w:val="clear" w:color="auto" w:fill="D7D7D7" w:themeFill="background1" w:themeFillShade="D8"/>
            <w:vAlign w:val="center"/>
          </w:tcPr>
          <w:p>
            <w:pPr>
              <w:pStyle w:val="5"/>
              <w:ind w:left="0" w:leftChars="0" w:firstLine="0" w:firstLineChars="0"/>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场景</w:t>
            </w:r>
          </w:p>
        </w:tc>
        <w:tc>
          <w:tcPr>
            <w:tcW w:w="1820" w:type="dxa"/>
            <w:shd w:val="clear" w:color="auto" w:fill="D7D7D7" w:themeFill="background1" w:themeFillShade="D8"/>
            <w:vAlign w:val="center"/>
          </w:tcPr>
          <w:p>
            <w:pPr>
              <w:pStyle w:val="5"/>
              <w:ind w:left="0" w:leftChars="0" w:firstLine="0" w:firstLineChars="0"/>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部门/用户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计划编制</w:t>
            </w:r>
          </w:p>
        </w:tc>
        <w:tc>
          <w:tcPr>
            <w:tcW w:w="5652"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审计法务部的审计人员在每年12月底依据内部审计工作规划、集团年度工作重点、审计监督关注重点及审计资源等，确定具体审计项目、编制下年度审计计划</w:t>
            </w:r>
          </w:p>
        </w:tc>
        <w:tc>
          <w:tcPr>
            <w:tcW w:w="1820" w:type="dxa"/>
            <w:vAlign w:val="center"/>
          </w:tcPr>
          <w:p>
            <w:pPr>
              <w:pStyle w:val="5"/>
              <w:ind w:left="0" w:leftChars="0" w:firstLine="0" w:firstLineChars="0"/>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审计人员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计划审核</w:t>
            </w:r>
          </w:p>
        </w:tc>
        <w:tc>
          <w:tcPr>
            <w:tcW w:w="5652"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审计人员完成年度审计计划编制后，提交审计计划进行审批，经相关部门会签，分管领导、总经理、董事长、党委会、董事会逐级审批或审议</w:t>
            </w:r>
          </w:p>
        </w:tc>
        <w:tc>
          <w:tcPr>
            <w:tcW w:w="1820"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相关部门、分管领导、总经理、董事长、党委会、董事会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计划执行跟踪</w:t>
            </w:r>
          </w:p>
        </w:tc>
        <w:tc>
          <w:tcPr>
            <w:tcW w:w="5652"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审计机构按照年度审计计划开展项目审计实施时，需从审计通知书、审计项目方案、审计资料收集、调查取证、审计工作底稿、审计报告、审计整改等全流程跟踪管理</w:t>
            </w:r>
          </w:p>
        </w:tc>
        <w:tc>
          <w:tcPr>
            <w:tcW w:w="1820"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审计人员、分管领导、总经理、董事长、党委会、董事会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审计方案编制</w:t>
            </w:r>
          </w:p>
        </w:tc>
        <w:tc>
          <w:tcPr>
            <w:tcW w:w="5652"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审计组在审计项目实施前，应调查了解被审计部门、单位的相关情况，评估其存在重要问题的可能性，确定审计应对措施，完成项目审计方案编制</w:t>
            </w:r>
          </w:p>
        </w:tc>
        <w:tc>
          <w:tcPr>
            <w:tcW w:w="1820"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审计组成员、审计组组长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审计方案审核</w:t>
            </w:r>
          </w:p>
        </w:tc>
        <w:tc>
          <w:tcPr>
            <w:tcW w:w="5652"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项目审计方案编制完成后需经审计组组长和审计法务部负责人、分管领导审批</w:t>
            </w:r>
          </w:p>
        </w:tc>
        <w:tc>
          <w:tcPr>
            <w:tcW w:w="1820"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审计组组长、审计法务部负责人、分管领导</w:t>
            </w:r>
          </w:p>
        </w:tc>
      </w:tr>
    </w:tbl>
    <w:p>
      <w:pPr>
        <w:pStyle w:val="5"/>
      </w:pPr>
    </w:p>
    <w:p>
      <w:pPr>
        <w:pStyle w:val="8"/>
        <w:rPr>
          <w:rFonts w:asciiTheme="minorEastAsia" w:hAnsiTheme="minorEastAsia" w:eastAsiaTheme="minorEastAsia"/>
          <w:sz w:val="24"/>
          <w:szCs w:val="24"/>
        </w:rPr>
      </w:pPr>
      <w:r>
        <w:rPr>
          <w:rFonts w:hint="eastAsia" w:asciiTheme="minorEastAsia" w:hAnsiTheme="minorEastAsia" w:eastAsiaTheme="minorEastAsia"/>
          <w:sz w:val="24"/>
          <w:szCs w:val="24"/>
        </w:rPr>
        <w:t>流程图</w:t>
      </w:r>
    </w:p>
    <w:p>
      <w:pPr>
        <w:pStyle w:val="17"/>
        <w:rPr>
          <w:rFonts w:asciiTheme="minorEastAsia" w:hAnsiTheme="minorEastAsia" w:eastAsiaTheme="minorEastAsia"/>
          <w:sz w:val="24"/>
          <w:szCs w:val="24"/>
        </w:rPr>
      </w:pPr>
      <w:r>
        <w:rPr>
          <w:rFonts w:hint="eastAsia" w:asciiTheme="minorEastAsia" w:hAnsiTheme="minorEastAsia" w:eastAsiaTheme="minorEastAsia"/>
          <w:b/>
          <w:sz w:val="24"/>
          <w:szCs w:val="24"/>
          <w:lang w:val="en-US" w:eastAsia="zh-CN"/>
        </w:rPr>
        <w:t>1、审计计划流程图</w:t>
      </w:r>
    </w:p>
    <w:p>
      <w:pPr>
        <w:pStyle w:val="17"/>
        <w:spacing w:line="360" w:lineRule="auto"/>
        <w:ind w:right="105" w:rightChars="50"/>
        <w:jc w:val="center"/>
        <w:rPr>
          <w:rFonts w:asciiTheme="minorEastAsia" w:hAnsiTheme="minorEastAsia" w:eastAsiaTheme="minorEastAsia"/>
          <w:sz w:val="24"/>
          <w:szCs w:val="24"/>
        </w:rPr>
      </w:pPr>
      <w:r>
        <w:rPr>
          <w:rFonts w:ascii="宋体" w:hAnsi="宋体" w:eastAsia="宋体" w:cs="宋体"/>
          <w:sz w:val="24"/>
          <w:szCs w:val="24"/>
        </w:rPr>
        <w:drawing>
          <wp:inline distT="0" distB="0" distL="114300" distR="114300">
            <wp:extent cx="5640705" cy="2693035"/>
            <wp:effectExtent l="0" t="0" r="13335" b="4445"/>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r:embed="rId8"/>
                    <a:stretch>
                      <a:fillRect/>
                    </a:stretch>
                  </pic:blipFill>
                  <pic:spPr>
                    <a:xfrm>
                      <a:off x="0" y="0"/>
                      <a:ext cx="5640705" cy="2693035"/>
                    </a:xfrm>
                    <a:prstGeom prst="rect">
                      <a:avLst/>
                    </a:prstGeom>
                    <a:noFill/>
                    <a:ln w="9525">
                      <a:noFill/>
                    </a:ln>
                  </pic:spPr>
                </pic:pic>
              </a:graphicData>
            </a:graphic>
          </wp:inline>
        </w:drawing>
      </w:r>
    </w:p>
    <w:p>
      <w:pPr>
        <w:pStyle w:val="17"/>
        <w:rPr>
          <w:rFonts w:hint="eastAsia" w:asciiTheme="minorEastAsia" w:hAnsiTheme="minorEastAsia" w:eastAsiaTheme="minorEastAsia"/>
          <w:sz w:val="24"/>
          <w:szCs w:val="24"/>
          <w:lang w:eastAsia="zh-CN"/>
        </w:rPr>
      </w:pPr>
      <w:r>
        <w:rPr>
          <w:rFonts w:hint="eastAsia" w:asciiTheme="minorEastAsia" w:hAnsiTheme="minorEastAsia" w:eastAsiaTheme="minorEastAsia"/>
          <w:b/>
          <w:sz w:val="24"/>
          <w:szCs w:val="24"/>
        </w:rPr>
        <w:t>流程说明</w:t>
      </w:r>
      <w:r>
        <w:rPr>
          <w:rFonts w:hint="eastAsia" w:asciiTheme="minorEastAsia" w:hAnsiTheme="minorEastAsia" w:eastAsiaTheme="minorEastAsia"/>
          <w:b/>
          <w:sz w:val="24"/>
          <w:szCs w:val="24"/>
          <w:lang w:eastAsia="zh-CN"/>
        </w:rPr>
        <w:t>：</w:t>
      </w:r>
    </w:p>
    <w:tbl>
      <w:tblPr>
        <w:tblStyle w:val="33"/>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72" w:type="dxa"/>
          <w:bottom w:w="0" w:type="dxa"/>
          <w:right w:w="72" w:type="dxa"/>
        </w:tblCellMar>
      </w:tblPr>
      <w:tblGrid>
        <w:gridCol w:w="1124"/>
        <w:gridCol w:w="1292"/>
        <w:gridCol w:w="1801"/>
        <w:gridCol w:w="1694"/>
        <w:gridCol w:w="722"/>
        <w:gridCol w:w="1074"/>
        <w:gridCol w:w="122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blHeader/>
        </w:trPr>
        <w:tc>
          <w:tcPr>
            <w:tcW w:w="5000" w:type="pct"/>
            <w:gridSpan w:val="7"/>
            <w:tcBorders>
              <w:top w:val="single" w:color="auto" w:sz="12" w:space="0"/>
              <w:left w:val="single" w:color="auto" w:sz="12" w:space="0"/>
              <w:bottom w:val="single" w:color="auto" w:sz="8" w:space="0"/>
              <w:right w:val="single" w:color="auto" w:sz="12" w:space="0"/>
            </w:tcBorders>
            <w:shd w:val="clear" w:color="auto" w:fill="EAEAEA"/>
            <w:vAlign w:val="center"/>
          </w:tcPr>
          <w:p>
            <w:pPr>
              <w:pStyle w:val="94"/>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rPr>
              <w:t>流程编号：</w:t>
            </w:r>
            <w:r>
              <w:rPr>
                <w:rFonts w:hint="eastAsia" w:asciiTheme="minorEastAsia" w:hAnsiTheme="minorEastAsia" w:eastAsiaTheme="minorEastAsia"/>
                <w:color w:val="000000"/>
                <w:sz w:val="21"/>
                <w:szCs w:val="21"/>
                <w:lang w:val="en-US" w:eastAsia="zh-CN"/>
              </w:rPr>
              <w:t>FP_PLAN_001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8" w:space="0"/>
              <w:right w:val="single" w:color="auto" w:sz="12" w:space="0"/>
            </w:tcBorders>
            <w:shd w:val="clear" w:color="auto" w:fill="EAEAEA"/>
            <w:vAlign w:val="center"/>
          </w:tcPr>
          <w:p>
            <w:pPr>
              <w:pStyle w:val="94"/>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rPr>
              <w:t>流程名称：</w:t>
            </w:r>
            <w:r>
              <w:rPr>
                <w:rFonts w:hint="eastAsia" w:asciiTheme="minorEastAsia" w:hAnsiTheme="minorEastAsia" w:eastAsiaTheme="minorEastAsia"/>
                <w:color w:val="000000"/>
                <w:sz w:val="21"/>
                <w:szCs w:val="21"/>
                <w:lang w:val="en-US" w:eastAsia="zh-CN"/>
              </w:rPr>
              <w:t>年度审计计划流程图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12" w:space="0"/>
              <w:right w:val="single" w:color="auto" w:sz="12" w:space="0"/>
            </w:tcBorders>
            <w:shd w:val="clear" w:color="auto" w:fill="EAEAEA"/>
            <w:vAlign w:val="center"/>
          </w:tcPr>
          <w:p>
            <w:pPr>
              <w:pStyle w:val="94"/>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rPr>
              <w:t>流程版本：</w:t>
            </w:r>
            <w:r>
              <w:rPr>
                <w:rFonts w:hint="eastAsia" w:asciiTheme="minorEastAsia" w:hAnsiTheme="minorEastAsia" w:eastAsiaTheme="minorEastAsia"/>
                <w:color w:val="000000"/>
                <w:sz w:val="21"/>
                <w:szCs w:val="21"/>
                <w:lang w:val="en-US" w:eastAsia="zh-CN"/>
              </w:rPr>
              <w:t>V1.0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630" w:type="pct"/>
            <w:tcBorders>
              <w:top w:val="single" w:color="auto" w:sz="12" w:space="0"/>
              <w:left w:val="single" w:color="auto" w:sz="12" w:space="0"/>
              <w:bottom w:val="single" w:color="auto" w:sz="6" w:space="0"/>
              <w:right w:val="single" w:color="auto" w:sz="6"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步骤编号</w:t>
            </w:r>
          </w:p>
        </w:tc>
        <w:tc>
          <w:tcPr>
            <w:tcW w:w="723"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步骤名称</w:t>
            </w:r>
          </w:p>
        </w:tc>
        <w:tc>
          <w:tcPr>
            <w:tcW w:w="1008"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业务过程描述</w:t>
            </w:r>
          </w:p>
        </w:tc>
        <w:tc>
          <w:tcPr>
            <w:tcW w:w="948"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责任部门/岗位</w:t>
            </w:r>
          </w:p>
        </w:tc>
        <w:tc>
          <w:tcPr>
            <w:tcW w:w="404"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处理方式</w:t>
            </w:r>
          </w:p>
        </w:tc>
        <w:tc>
          <w:tcPr>
            <w:tcW w:w="601"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输入文档</w:t>
            </w:r>
          </w:p>
        </w:tc>
        <w:tc>
          <w:tcPr>
            <w:tcW w:w="682" w:type="pct"/>
            <w:tcBorders>
              <w:top w:val="single" w:color="auto" w:sz="12" w:space="0"/>
              <w:left w:val="single" w:color="auto" w:sz="8" w:space="0"/>
              <w:bottom w:val="single" w:color="auto" w:sz="6" w:space="0"/>
              <w:right w:val="single" w:color="auto" w:sz="12"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输出文档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60" w:hRule="exact"/>
        </w:trPr>
        <w:tc>
          <w:tcPr>
            <w:tcW w:w="630" w:type="pct"/>
            <w:tcBorders>
              <w:top w:val="single" w:color="auto" w:sz="6" w:space="0"/>
              <w:left w:val="nil"/>
              <w:bottom w:val="single" w:color="auto" w:sz="6" w:space="0"/>
              <w:right w:val="single" w:color="auto" w:sz="6"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723"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1008"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948"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404"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601"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682" w:type="pct"/>
            <w:tcBorders>
              <w:top w:val="single" w:color="auto" w:sz="6" w:space="0"/>
              <w:left w:val="single" w:color="auto" w:sz="8" w:space="0"/>
              <w:bottom w:val="single" w:color="auto" w:sz="6" w:space="0"/>
              <w:right w:val="nil"/>
            </w:tcBorders>
            <w:shd w:val="pct50" w:color="auto" w:fill="auto"/>
            <w:vAlign w:val="center"/>
          </w:tcPr>
          <w:p>
            <w:pPr>
              <w:pStyle w:val="93"/>
              <w:jc w:val="both"/>
              <w:rPr>
                <w:rFonts w:asciiTheme="minorEastAsia" w:hAnsiTheme="minorEastAsia" w:eastAsiaTheme="minorEastAsia"/>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A1_01</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年度审计计划编制或更新</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由审计法务部审计人员在每年12月底完成下一年度审计计划编制</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审计法务部</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无</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年度审计计划</w:t>
            </w:r>
          </w:p>
        </w:tc>
      </w:tr>
    </w:tbl>
    <w:p>
      <w:pPr>
        <w:pStyle w:val="17"/>
        <w:rPr>
          <w:rFonts w:asciiTheme="minorEastAsia" w:hAnsiTheme="minorEastAsia" w:eastAsiaTheme="minorEastAsia"/>
          <w:sz w:val="24"/>
          <w:szCs w:val="24"/>
        </w:rPr>
      </w:pPr>
      <w:r>
        <w:rPr>
          <w:rFonts w:hint="eastAsia" w:asciiTheme="minorEastAsia" w:hAnsiTheme="minorEastAsia" w:eastAsiaTheme="minorEastAsia"/>
          <w:b/>
          <w:sz w:val="24"/>
          <w:szCs w:val="24"/>
          <w:lang w:val="en-US" w:eastAsia="zh-CN"/>
        </w:rPr>
        <w:t>2、审计方案流程图</w:t>
      </w:r>
    </w:p>
    <w:p>
      <w:pPr>
        <w:pStyle w:val="17"/>
        <w:jc w:val="center"/>
        <w:rPr>
          <w:rFonts w:asciiTheme="minorEastAsia" w:hAnsiTheme="minorEastAsia" w:eastAsiaTheme="minorEastAsia"/>
          <w:sz w:val="24"/>
          <w:szCs w:val="24"/>
        </w:rPr>
      </w:pPr>
      <w:r>
        <w:rPr>
          <w:rFonts w:ascii="宋体" w:hAnsi="宋体" w:eastAsia="宋体" w:cs="宋体"/>
          <w:sz w:val="24"/>
          <w:szCs w:val="24"/>
        </w:rPr>
        <w:drawing>
          <wp:inline distT="0" distB="0" distL="114300" distR="114300">
            <wp:extent cx="5457825" cy="4632325"/>
            <wp:effectExtent l="0" t="0" r="0" b="0"/>
            <wp:docPr id="5"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IMG_256"/>
                    <pic:cNvPicPr>
                      <a:picLocks noChangeAspect="1"/>
                    </pic:cNvPicPr>
                  </pic:nvPicPr>
                  <pic:blipFill>
                    <a:blip r:embed="rId9"/>
                    <a:stretch>
                      <a:fillRect/>
                    </a:stretch>
                  </pic:blipFill>
                  <pic:spPr>
                    <a:xfrm>
                      <a:off x="0" y="0"/>
                      <a:ext cx="5457825" cy="4632325"/>
                    </a:xfrm>
                    <a:prstGeom prst="rect">
                      <a:avLst/>
                    </a:prstGeom>
                    <a:noFill/>
                    <a:ln w="9525">
                      <a:noFill/>
                    </a:ln>
                  </pic:spPr>
                </pic:pic>
              </a:graphicData>
            </a:graphic>
          </wp:inline>
        </w:drawing>
      </w:r>
    </w:p>
    <w:p>
      <w:pPr>
        <w:pStyle w:val="17"/>
        <w:rPr>
          <w:rFonts w:hint="eastAsia" w:asciiTheme="minorEastAsia" w:hAnsiTheme="minorEastAsia" w:eastAsiaTheme="minorEastAsia"/>
          <w:sz w:val="24"/>
          <w:szCs w:val="24"/>
          <w:lang w:eastAsia="zh-CN"/>
        </w:rPr>
      </w:pPr>
      <w:r>
        <w:rPr>
          <w:rFonts w:hint="eastAsia" w:asciiTheme="minorEastAsia" w:hAnsiTheme="minorEastAsia" w:eastAsiaTheme="minorEastAsia"/>
          <w:b/>
          <w:sz w:val="24"/>
          <w:szCs w:val="24"/>
        </w:rPr>
        <w:t>流程说明</w:t>
      </w:r>
      <w:r>
        <w:rPr>
          <w:rFonts w:hint="eastAsia" w:asciiTheme="minorEastAsia" w:hAnsiTheme="minorEastAsia" w:eastAsiaTheme="minorEastAsia"/>
          <w:b/>
          <w:sz w:val="24"/>
          <w:szCs w:val="24"/>
          <w:lang w:eastAsia="zh-CN"/>
        </w:rPr>
        <w:t>：</w:t>
      </w:r>
    </w:p>
    <w:tbl>
      <w:tblPr>
        <w:tblStyle w:val="33"/>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72" w:type="dxa"/>
          <w:bottom w:w="0" w:type="dxa"/>
          <w:right w:w="72" w:type="dxa"/>
        </w:tblCellMar>
      </w:tblPr>
      <w:tblGrid>
        <w:gridCol w:w="1127"/>
        <w:gridCol w:w="1292"/>
        <w:gridCol w:w="1801"/>
        <w:gridCol w:w="1695"/>
        <w:gridCol w:w="723"/>
        <w:gridCol w:w="1074"/>
        <w:gridCol w:w="12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12" w:space="0"/>
              <w:left w:val="single" w:color="auto" w:sz="12" w:space="0"/>
              <w:bottom w:val="single" w:color="auto" w:sz="8" w:space="0"/>
              <w:right w:val="single" w:color="auto" w:sz="12" w:space="0"/>
            </w:tcBorders>
            <w:shd w:val="clear" w:color="auto" w:fill="EAEAEA"/>
            <w:vAlign w:val="center"/>
          </w:tcPr>
          <w:p>
            <w:pPr>
              <w:pStyle w:val="94"/>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rPr>
              <w:t>流程编号：</w:t>
            </w:r>
            <w:r>
              <w:rPr>
                <w:rFonts w:hint="eastAsia" w:asciiTheme="minorEastAsia" w:hAnsiTheme="minorEastAsia" w:eastAsiaTheme="minorEastAsia"/>
                <w:color w:val="000000"/>
                <w:sz w:val="21"/>
                <w:szCs w:val="21"/>
                <w:lang w:val="en-US" w:eastAsia="zh-CN"/>
              </w:rPr>
              <w:t>FP_AP_001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8" w:space="0"/>
              <w:right w:val="single" w:color="auto" w:sz="12" w:space="0"/>
            </w:tcBorders>
            <w:shd w:val="clear" w:color="auto" w:fill="EAEAEA"/>
            <w:vAlign w:val="center"/>
          </w:tcPr>
          <w:p>
            <w:pPr>
              <w:pStyle w:val="94"/>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rPr>
              <w:t>流程名称：</w:t>
            </w:r>
            <w:r>
              <w:rPr>
                <w:rFonts w:hint="eastAsia" w:asciiTheme="minorEastAsia" w:hAnsiTheme="minorEastAsia" w:eastAsiaTheme="minorEastAsia"/>
                <w:color w:val="000000"/>
                <w:sz w:val="21"/>
                <w:szCs w:val="21"/>
                <w:lang w:val="en-US" w:eastAsia="zh-CN"/>
              </w:rPr>
              <w:t>审计项目方案流程图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12" w:space="0"/>
              <w:right w:val="single" w:color="auto" w:sz="12" w:space="0"/>
            </w:tcBorders>
            <w:shd w:val="clear" w:color="auto" w:fill="EAEAEA"/>
            <w:vAlign w:val="center"/>
          </w:tcPr>
          <w:p>
            <w:pPr>
              <w:pStyle w:val="94"/>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rPr>
              <w:t>流程版本：</w:t>
            </w:r>
            <w:r>
              <w:rPr>
                <w:rFonts w:hint="eastAsia" w:asciiTheme="minorEastAsia" w:hAnsiTheme="minorEastAsia" w:eastAsiaTheme="minorEastAsia"/>
                <w:color w:val="000000"/>
                <w:sz w:val="21"/>
                <w:szCs w:val="21"/>
                <w:lang w:val="en-US" w:eastAsia="zh-CN"/>
              </w:rPr>
              <w:t>V1.0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631" w:type="pct"/>
            <w:tcBorders>
              <w:top w:val="single" w:color="auto" w:sz="12" w:space="0"/>
              <w:left w:val="single" w:color="auto" w:sz="12" w:space="0"/>
              <w:bottom w:val="single" w:color="auto" w:sz="6" w:space="0"/>
              <w:right w:val="single" w:color="auto" w:sz="6"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步骤编号</w:t>
            </w:r>
          </w:p>
        </w:tc>
        <w:tc>
          <w:tcPr>
            <w:tcW w:w="723"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步骤名称</w:t>
            </w:r>
          </w:p>
        </w:tc>
        <w:tc>
          <w:tcPr>
            <w:tcW w:w="1008"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业务过程描述</w:t>
            </w:r>
          </w:p>
        </w:tc>
        <w:tc>
          <w:tcPr>
            <w:tcW w:w="949"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责任部门/岗位</w:t>
            </w:r>
          </w:p>
        </w:tc>
        <w:tc>
          <w:tcPr>
            <w:tcW w:w="405"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处理方式</w:t>
            </w:r>
          </w:p>
        </w:tc>
        <w:tc>
          <w:tcPr>
            <w:tcW w:w="601"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输入文档</w:t>
            </w:r>
          </w:p>
        </w:tc>
        <w:tc>
          <w:tcPr>
            <w:tcW w:w="678" w:type="pct"/>
            <w:tcBorders>
              <w:top w:val="single" w:color="auto" w:sz="12" w:space="0"/>
              <w:left w:val="single" w:color="auto" w:sz="8" w:space="0"/>
              <w:bottom w:val="single" w:color="auto" w:sz="6" w:space="0"/>
              <w:right w:val="single" w:color="auto" w:sz="12"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输出文档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60" w:hRule="exact"/>
        </w:trPr>
        <w:tc>
          <w:tcPr>
            <w:tcW w:w="631" w:type="pct"/>
            <w:tcBorders>
              <w:top w:val="single" w:color="auto" w:sz="6" w:space="0"/>
              <w:left w:val="nil"/>
              <w:bottom w:val="single" w:color="auto" w:sz="6" w:space="0"/>
              <w:right w:val="single" w:color="auto" w:sz="6"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723"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1008"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949"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405"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601"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678" w:type="pct"/>
            <w:tcBorders>
              <w:top w:val="single" w:color="auto" w:sz="6" w:space="0"/>
              <w:left w:val="single" w:color="auto" w:sz="8" w:space="0"/>
              <w:bottom w:val="single" w:color="auto" w:sz="6" w:space="0"/>
              <w:right w:val="nil"/>
            </w:tcBorders>
            <w:shd w:val="pct50" w:color="auto" w:fill="auto"/>
            <w:vAlign w:val="center"/>
          </w:tcPr>
          <w:p>
            <w:pPr>
              <w:pStyle w:val="93"/>
              <w:jc w:val="both"/>
              <w:rPr>
                <w:rFonts w:asciiTheme="minorEastAsia" w:hAnsiTheme="minorEastAsia" w:eastAsiaTheme="minorEastAsia"/>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A1_01</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审计项目方案编制</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由审计组完成审计项目方案编制</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审计组</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无</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审计项目方案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asciiTheme="minorEastAsia" w:hAnsiTheme="minorEastAsia" w:eastAsiaTheme="minorEastAsia"/>
                <w:color w:val="000000"/>
                <w:sz w:val="21"/>
                <w:szCs w:val="21"/>
              </w:rPr>
            </w:pP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asciiTheme="minorEastAsia" w:hAnsiTheme="minorEastAsia" w:eastAsiaTheme="minorEastAsia"/>
                <w:color w:val="000000"/>
                <w:sz w:val="21"/>
                <w:szCs w:val="21"/>
              </w:rPr>
            </w:pP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asciiTheme="minorEastAsia" w:hAnsiTheme="minorEastAsia" w:eastAsiaTheme="minorEastAsia"/>
                <w:color w:val="000000"/>
                <w:sz w:val="21"/>
                <w:szCs w:val="21"/>
              </w:rPr>
            </w:pP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asciiTheme="minorEastAsia" w:hAnsiTheme="minorEastAsia" w:eastAsiaTheme="minorEastAsia"/>
                <w:color w:val="000000"/>
                <w:sz w:val="21"/>
                <w:szCs w:val="21"/>
              </w:rPr>
            </w:pP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asciiTheme="minorEastAsia" w:hAnsiTheme="minorEastAsia" w:eastAsiaTheme="minorEastAsia"/>
                <w:color w:val="000000"/>
                <w:sz w:val="21"/>
                <w:szCs w:val="21"/>
              </w:rPr>
            </w:pP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asciiTheme="minorEastAsia" w:hAnsiTheme="minorEastAsia" w:eastAsiaTheme="minorEastAsia"/>
                <w:color w:val="000000"/>
                <w:sz w:val="21"/>
                <w:szCs w:val="21"/>
              </w:rPr>
            </w:pP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asciiTheme="minorEastAsia" w:hAnsiTheme="minorEastAsia" w:eastAsiaTheme="minorEastAsia"/>
                <w:color w:val="000000"/>
                <w:sz w:val="21"/>
                <w:szCs w:val="21"/>
              </w:rPr>
            </w:pPr>
          </w:p>
        </w:tc>
      </w:tr>
    </w:tbl>
    <w:p>
      <w:pPr>
        <w:pStyle w:val="17"/>
        <w:rPr>
          <w:rFonts w:asciiTheme="minorEastAsia" w:hAnsiTheme="minorEastAsia" w:eastAsiaTheme="minorEastAsia"/>
          <w:sz w:val="24"/>
          <w:szCs w:val="24"/>
        </w:rPr>
      </w:pPr>
    </w:p>
    <w:p>
      <w:pPr>
        <w:pStyle w:val="8"/>
        <w:rPr>
          <w:rFonts w:asciiTheme="minorEastAsia" w:hAnsiTheme="minorEastAsia" w:eastAsiaTheme="minorEastAsia"/>
          <w:sz w:val="24"/>
          <w:szCs w:val="24"/>
        </w:rPr>
      </w:pPr>
      <w:r>
        <w:rPr>
          <w:rFonts w:hint="eastAsia" w:asciiTheme="minorEastAsia" w:hAnsiTheme="minorEastAsia" w:eastAsiaTheme="minorEastAsia"/>
          <w:sz w:val="24"/>
          <w:szCs w:val="24"/>
        </w:rPr>
        <w:t>用户业务需求</w:t>
      </w:r>
    </w:p>
    <w:tbl>
      <w:tblPr>
        <w:tblStyle w:val="33"/>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72" w:type="dxa"/>
          <w:bottom w:w="0" w:type="dxa"/>
          <w:right w:w="72" w:type="dxa"/>
        </w:tblCellMar>
      </w:tblPr>
      <w:tblGrid>
        <w:gridCol w:w="1293"/>
        <w:gridCol w:w="763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724" w:type="pct"/>
            <w:tcBorders>
              <w:top w:val="single" w:color="auto" w:sz="4" w:space="0"/>
              <w:left w:val="single" w:color="auto" w:sz="4" w:space="0"/>
              <w:bottom w:val="single" w:color="auto" w:sz="4" w:space="0"/>
              <w:right w:val="single" w:color="auto" w:sz="4" w:space="0"/>
            </w:tcBorders>
            <w:shd w:val="clear" w:color="auto" w:fill="EAEAEA"/>
          </w:tcPr>
          <w:p>
            <w:pPr>
              <w:pStyle w:val="9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需求编号</w:t>
            </w:r>
          </w:p>
        </w:tc>
        <w:tc>
          <w:tcPr>
            <w:tcW w:w="4276" w:type="pct"/>
            <w:tcBorders>
              <w:top w:val="single" w:color="auto" w:sz="4" w:space="0"/>
              <w:left w:val="single" w:color="auto" w:sz="4" w:space="0"/>
              <w:bottom w:val="single" w:color="auto" w:sz="4" w:space="0"/>
              <w:right w:val="single" w:color="auto" w:sz="4" w:space="0"/>
            </w:tcBorders>
            <w:shd w:val="clear" w:color="auto" w:fill="EAEAEA"/>
          </w:tcPr>
          <w:p>
            <w:pPr>
              <w:pStyle w:val="9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需求详细描述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60" w:hRule="exact"/>
        </w:trPr>
        <w:tc>
          <w:tcPr>
            <w:tcW w:w="724" w:type="pct"/>
            <w:tcBorders>
              <w:top w:val="single" w:color="auto" w:sz="4" w:space="0"/>
              <w:left w:val="nil"/>
              <w:bottom w:val="single" w:color="auto" w:sz="6" w:space="0"/>
              <w:right w:val="nil"/>
            </w:tcBorders>
            <w:shd w:val="pct50" w:color="auto" w:fill="auto"/>
          </w:tcPr>
          <w:p>
            <w:pPr>
              <w:pStyle w:val="93"/>
              <w:rPr>
                <w:rFonts w:asciiTheme="minorEastAsia" w:hAnsiTheme="minorEastAsia" w:eastAsiaTheme="minorEastAsia"/>
                <w:color w:val="000000"/>
                <w:sz w:val="21"/>
                <w:szCs w:val="21"/>
              </w:rPr>
            </w:pPr>
          </w:p>
        </w:tc>
        <w:tc>
          <w:tcPr>
            <w:tcW w:w="4276" w:type="pct"/>
            <w:tcBorders>
              <w:top w:val="single" w:color="auto" w:sz="4" w:space="0"/>
              <w:left w:val="nil"/>
              <w:bottom w:val="single" w:color="auto" w:sz="6" w:space="0"/>
              <w:right w:val="nil"/>
            </w:tcBorders>
            <w:shd w:val="pct50" w:color="auto" w:fill="auto"/>
          </w:tcPr>
          <w:p>
            <w:pPr>
              <w:pStyle w:val="93"/>
              <w:rPr>
                <w:rFonts w:asciiTheme="minorEastAsia" w:hAnsiTheme="minorEastAsia" w:eastAsiaTheme="minorEastAsia"/>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724" w:type="pct"/>
            <w:tcBorders>
              <w:top w:val="nil"/>
              <w:left w:val="single" w:color="auto" w:sz="12" w:space="0"/>
              <w:bottom w:val="single" w:color="auto" w:sz="6" w:space="0"/>
              <w:right w:val="single" w:color="auto" w:sz="6" w:space="0"/>
            </w:tcBorders>
            <w:vAlign w:val="center"/>
          </w:tcPr>
          <w:p>
            <w:pPr>
              <w:pStyle w:val="93"/>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1</w:t>
            </w:r>
          </w:p>
        </w:tc>
        <w:tc>
          <w:tcPr>
            <w:tcW w:w="4276" w:type="pct"/>
            <w:tcBorders>
              <w:top w:val="nil"/>
              <w:left w:val="single" w:color="auto" w:sz="6" w:space="0"/>
              <w:bottom w:val="single" w:color="auto" w:sz="6" w:space="0"/>
              <w:right w:val="single" w:color="auto" w:sz="12" w:space="0"/>
            </w:tcBorders>
            <w:vAlign w:val="center"/>
          </w:tcPr>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textAlignment w:val="baseline"/>
              <w:rPr>
                <w:rFonts w:asciiTheme="minorEastAsia" w:hAnsiTheme="minorEastAsia" w:eastAsiaTheme="minorEastAsia"/>
                <w:color w:val="000000"/>
                <w:sz w:val="21"/>
                <w:szCs w:val="21"/>
              </w:rPr>
            </w:pPr>
            <w:r>
              <w:rPr>
                <w:rFonts w:hint="eastAsia" w:asciiTheme="minorEastAsia" w:hAnsiTheme="minorEastAsia" w:eastAsiaTheme="minorEastAsia"/>
                <w:sz w:val="21"/>
                <w:szCs w:val="21"/>
                <w:lang w:val="en-US" w:eastAsia="zh-CN"/>
              </w:rPr>
              <w:t>实现内部项目年度审计计划编制和更新管理，审计计划主要包含年度审计工作目标、审计项目信息、审计实施时间、所需审计资源、以前年度审计项目的后续工作安排等信息。在每年年中，可对年度审计计划内容进行更新，包括对审计项目的增加、删除或更新，更新后的年度审计计划需重新走审批流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724" w:type="pct"/>
            <w:tcBorders>
              <w:top w:val="nil"/>
              <w:left w:val="single" w:color="auto" w:sz="12" w:space="0"/>
              <w:bottom w:val="single" w:color="auto" w:sz="6" w:space="0"/>
              <w:right w:val="single" w:color="auto" w:sz="6" w:space="0"/>
            </w:tcBorders>
            <w:vAlign w:val="center"/>
          </w:tcPr>
          <w:p>
            <w:pPr>
              <w:pStyle w:val="93"/>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2</w:t>
            </w:r>
          </w:p>
        </w:tc>
        <w:tc>
          <w:tcPr>
            <w:tcW w:w="4276" w:type="pct"/>
            <w:tcBorders>
              <w:top w:val="nil"/>
              <w:left w:val="single" w:color="auto" w:sz="6" w:space="0"/>
              <w:bottom w:val="single" w:color="auto" w:sz="6" w:space="0"/>
              <w:right w:val="single" w:color="auto" w:sz="12" w:space="0"/>
            </w:tcBorders>
            <w:vAlign w:val="center"/>
          </w:tcPr>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textAlignment w:val="baseline"/>
              <w:rPr>
                <w:rFonts w:asciiTheme="minorEastAsia" w:hAnsiTheme="minorEastAsia" w:eastAsiaTheme="minorEastAsia"/>
                <w:color w:val="000000"/>
                <w:sz w:val="21"/>
                <w:szCs w:val="21"/>
              </w:rPr>
            </w:pPr>
            <w:r>
              <w:rPr>
                <w:rFonts w:hint="eastAsia" w:asciiTheme="minorEastAsia" w:hAnsiTheme="minorEastAsia" w:eastAsiaTheme="minorEastAsia"/>
                <w:sz w:val="21"/>
                <w:szCs w:val="21"/>
              </w:rPr>
              <w:t>实现</w:t>
            </w:r>
            <w:r>
              <w:rPr>
                <w:rFonts w:hint="eastAsia" w:asciiTheme="minorEastAsia" w:hAnsiTheme="minorEastAsia" w:eastAsiaTheme="minorEastAsia"/>
                <w:sz w:val="21"/>
                <w:szCs w:val="21"/>
                <w:lang w:val="en-US" w:eastAsia="zh-CN"/>
              </w:rPr>
              <w:t>内部项目年度审计计划在线审批管理，由审计法务部牵头完成年度审计计划编制后，需经相关业务部门会签后，提交至分管领导、总经理、董事长、党委会研究、董事会审议。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724" w:type="pct"/>
            <w:tcBorders>
              <w:top w:val="nil"/>
              <w:left w:val="single" w:color="auto" w:sz="12" w:space="0"/>
              <w:bottom w:val="nil"/>
              <w:right w:val="single" w:color="auto" w:sz="6" w:space="0"/>
            </w:tcBorders>
            <w:vAlign w:val="center"/>
          </w:tcPr>
          <w:p>
            <w:pPr>
              <w:pStyle w:val="93"/>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3</w:t>
            </w:r>
          </w:p>
        </w:tc>
        <w:tc>
          <w:tcPr>
            <w:tcW w:w="4276" w:type="pct"/>
            <w:tcBorders>
              <w:top w:val="nil"/>
              <w:left w:val="single" w:color="auto" w:sz="6" w:space="0"/>
              <w:bottom w:val="nil"/>
              <w:right w:val="single" w:color="auto" w:sz="12" w:space="0"/>
            </w:tcBorders>
            <w:vAlign w:val="center"/>
          </w:tcPr>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textAlignment w:val="baseline"/>
              <w:rPr>
                <w:rFonts w:asciiTheme="minorEastAsia" w:hAnsiTheme="minorEastAsia" w:eastAsiaTheme="minorEastAsia"/>
                <w:color w:val="000000"/>
                <w:sz w:val="21"/>
                <w:szCs w:val="21"/>
              </w:rPr>
            </w:pPr>
            <w:r>
              <w:rPr>
                <w:rFonts w:hint="eastAsia" w:asciiTheme="minorEastAsia" w:hAnsiTheme="minorEastAsia" w:eastAsiaTheme="minorEastAsia"/>
                <w:sz w:val="21"/>
                <w:szCs w:val="21"/>
                <w:lang w:val="en-US" w:eastAsia="zh-CN"/>
              </w:rPr>
              <w:t>实现内部项目年度审计计划执行跟踪管理，从年度审计计划的发布，审计通知书发布，审计实施（资料收集、调查取证、审计工作底稿编制、审计报告的编制等），审计问题整改的全流程跟踪。</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724" w:type="pct"/>
            <w:tcBorders>
              <w:top w:val="nil"/>
              <w:left w:val="single" w:color="auto" w:sz="12" w:space="0"/>
              <w:bottom w:val="nil"/>
              <w:right w:val="single" w:color="auto" w:sz="6" w:space="0"/>
            </w:tcBorders>
            <w:vAlign w:val="center"/>
          </w:tcPr>
          <w:p>
            <w:pPr>
              <w:pStyle w:val="93"/>
              <w:jc w:val="center"/>
              <w:rPr>
                <w:rFonts w:hint="eastAsia" w:asciiTheme="minorEastAsia" w:hAnsiTheme="minorEastAsia" w:eastAsiaTheme="minorEastAsia"/>
                <w:color w:val="000000"/>
                <w:sz w:val="21"/>
                <w:szCs w:val="21"/>
                <w:lang w:val="en-US" w:eastAsia="zh-CN"/>
              </w:rPr>
            </w:pPr>
            <w:bookmarkStart w:id="10" w:name="_Toc24021"/>
            <w:r>
              <w:rPr>
                <w:rFonts w:hint="eastAsia" w:asciiTheme="minorEastAsia" w:hAnsiTheme="minorEastAsia" w:eastAsiaTheme="minorEastAsia"/>
                <w:color w:val="000000"/>
                <w:sz w:val="21"/>
                <w:szCs w:val="21"/>
                <w:lang w:val="en-US" w:eastAsia="zh-CN"/>
              </w:rPr>
              <w:t>4</w:t>
            </w:r>
          </w:p>
        </w:tc>
        <w:tc>
          <w:tcPr>
            <w:tcW w:w="4276" w:type="pct"/>
            <w:tcBorders>
              <w:top w:val="nil"/>
              <w:left w:val="single" w:color="auto" w:sz="6" w:space="0"/>
              <w:bottom w:val="nil"/>
              <w:right w:val="single" w:color="auto" w:sz="12" w:space="0"/>
            </w:tcBorders>
            <w:vAlign w:val="center"/>
          </w:tcPr>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textAlignment w:val="baseline"/>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实现内部项目审计方案编制管理，包含被审计对象、项目名称、审计目标、审计范围、审计内容和重点、审计步骤和方法、审计组成员及分工、审计起止日期、其他相关内容等。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724" w:type="pct"/>
            <w:tcBorders>
              <w:top w:val="nil"/>
              <w:left w:val="single" w:color="auto" w:sz="12" w:space="0"/>
              <w:bottom w:val="single" w:color="auto" w:sz="6" w:space="0"/>
              <w:right w:val="single" w:color="auto" w:sz="6" w:space="0"/>
            </w:tcBorders>
            <w:vAlign w:val="center"/>
          </w:tcPr>
          <w:p>
            <w:pPr>
              <w:pStyle w:val="93"/>
              <w:jc w:val="center"/>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5</w:t>
            </w:r>
          </w:p>
        </w:tc>
        <w:tc>
          <w:tcPr>
            <w:tcW w:w="4276" w:type="pct"/>
            <w:tcBorders>
              <w:top w:val="nil"/>
              <w:left w:val="single" w:color="auto" w:sz="6" w:space="0"/>
              <w:bottom w:val="single" w:color="auto" w:sz="6" w:space="0"/>
              <w:right w:val="single" w:color="auto" w:sz="12" w:space="0"/>
            </w:tcBorders>
            <w:vAlign w:val="center"/>
          </w:tcPr>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textAlignment w:val="baseline"/>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实现内部项目审计方案审批管理，审计方案编制完成后，由审计组组长或审计法务部部长以及分管领导审批同意后发布生效。审批支持通过、不通过和驳回操作</w:t>
            </w:r>
          </w:p>
        </w:tc>
      </w:tr>
    </w:tbl>
    <w:p>
      <w:pPr>
        <w:pStyle w:val="6"/>
        <w:rPr>
          <w:rFonts w:hint="eastAsia"/>
          <w:lang w:val="en-US" w:eastAsia="zh-CN"/>
        </w:rPr>
      </w:pPr>
      <w:r>
        <w:rPr>
          <w:rFonts w:hint="eastAsia" w:cs="Times New Roman" w:asciiTheme="minorEastAsia" w:hAnsiTheme="minorEastAsia" w:eastAsiaTheme="minorEastAsia"/>
          <w:b/>
          <w:bCs/>
          <w:kern w:val="2"/>
          <w:sz w:val="24"/>
          <w:szCs w:val="24"/>
          <w:lang w:val="en-US" w:eastAsia="zh-CN" w:bidi="ar-SA"/>
        </w:rPr>
        <w:t>审计项目管理</w:t>
      </w:r>
      <w:bookmarkEnd w:id="10"/>
    </w:p>
    <w:p>
      <w:pPr>
        <w:pStyle w:val="7"/>
      </w:pPr>
      <w:bookmarkStart w:id="11" w:name="_Toc32401"/>
      <w:r>
        <w:rPr>
          <w:rFonts w:hint="eastAsia"/>
          <w:lang w:val="en-US" w:eastAsia="zh-CN"/>
        </w:rPr>
        <w:t>业务状况</w:t>
      </w:r>
      <w:bookmarkEnd w:id="11"/>
    </w:p>
    <w:p>
      <w:pPr>
        <w:spacing w:line="360" w:lineRule="auto"/>
        <w:ind w:firstLine="420"/>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目前</w:t>
      </w:r>
      <w:r>
        <w:rPr>
          <w:rFonts w:hint="eastAsia" w:asciiTheme="minorEastAsia" w:hAnsiTheme="minorEastAsia" w:eastAsiaTheme="minorEastAsia" w:cstheme="minorEastAsia"/>
          <w:sz w:val="24"/>
          <w:szCs w:val="24"/>
          <w:lang w:val="en-US" w:eastAsia="zh-CN"/>
        </w:rPr>
        <w:t>铁路集团</w:t>
      </w:r>
      <w:r>
        <w:rPr>
          <w:rFonts w:hint="eastAsia" w:asciiTheme="minorEastAsia" w:hAnsiTheme="minorEastAsia" w:eastAsiaTheme="minorEastAsia" w:cstheme="minorEastAsia"/>
          <w:sz w:val="24"/>
          <w:szCs w:val="24"/>
        </w:rPr>
        <w:t>审计</w:t>
      </w:r>
      <w:r>
        <w:rPr>
          <w:rFonts w:hint="eastAsia" w:asciiTheme="minorEastAsia" w:hAnsiTheme="minorEastAsia" w:eastAsiaTheme="minorEastAsia" w:cstheme="minorEastAsia"/>
          <w:sz w:val="24"/>
          <w:szCs w:val="24"/>
          <w:lang w:val="en-US" w:eastAsia="zh-CN"/>
        </w:rPr>
        <w:t>项目</w:t>
      </w:r>
      <w:r>
        <w:rPr>
          <w:rFonts w:hint="eastAsia" w:asciiTheme="minorEastAsia" w:hAnsiTheme="minorEastAsia" w:eastAsiaTheme="minorEastAsia" w:cstheme="minorEastAsia"/>
          <w:sz w:val="24"/>
          <w:szCs w:val="24"/>
        </w:rPr>
        <w:t>分为</w:t>
      </w:r>
      <w:r>
        <w:rPr>
          <w:rFonts w:hint="eastAsia" w:asciiTheme="minorEastAsia" w:hAnsiTheme="minorEastAsia" w:eastAsiaTheme="minorEastAsia" w:cstheme="minorEastAsia"/>
          <w:sz w:val="24"/>
          <w:szCs w:val="24"/>
          <w:lang w:val="en-US" w:eastAsia="zh-CN"/>
        </w:rPr>
        <w:t>内部项目审计（简称内审）</w:t>
      </w:r>
      <w:r>
        <w:rPr>
          <w:rFonts w:hint="eastAsia" w:asciiTheme="minorEastAsia" w:hAnsiTheme="minorEastAsia" w:eastAsiaTheme="minorEastAsia" w:cstheme="minorEastAsia"/>
          <w:sz w:val="24"/>
          <w:szCs w:val="24"/>
        </w:rPr>
        <w:t>和</w:t>
      </w:r>
      <w:r>
        <w:rPr>
          <w:rFonts w:hint="eastAsia" w:asciiTheme="minorEastAsia" w:hAnsiTheme="minorEastAsia" w:eastAsiaTheme="minorEastAsia" w:cstheme="minorEastAsia"/>
          <w:sz w:val="24"/>
          <w:szCs w:val="24"/>
          <w:lang w:val="en-US" w:eastAsia="zh-CN"/>
        </w:rPr>
        <w:t>外部项目审计（简称外审）</w:t>
      </w:r>
      <w:r>
        <w:rPr>
          <w:rFonts w:hint="eastAsia" w:asciiTheme="minorEastAsia" w:hAnsiTheme="minorEastAsia" w:eastAsiaTheme="minorEastAsia" w:cstheme="minorEastAsia"/>
          <w:sz w:val="24"/>
          <w:szCs w:val="24"/>
        </w:rPr>
        <w:t>，外审是根据上级单位</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重庆市交通开投集团）</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审计机关</w:t>
      </w:r>
      <w:r>
        <w:rPr>
          <w:rFonts w:hint="eastAsia" w:asciiTheme="minorEastAsia" w:hAnsiTheme="minorEastAsia" w:eastAsiaTheme="minorEastAsia" w:cstheme="minorEastAsia"/>
          <w:sz w:val="24"/>
          <w:szCs w:val="24"/>
        </w:rPr>
        <w:t>下发审计通知书或审计资料清单来开展</w:t>
      </w:r>
      <w:r>
        <w:rPr>
          <w:rFonts w:hint="eastAsia" w:asciiTheme="minorEastAsia" w:hAnsiTheme="minorEastAsia" w:eastAsiaTheme="minorEastAsia" w:cstheme="minorEastAsia"/>
          <w:sz w:val="24"/>
          <w:szCs w:val="24"/>
          <w:lang w:val="en-US" w:eastAsia="zh-CN"/>
        </w:rPr>
        <w:t>的项目</w:t>
      </w:r>
      <w:r>
        <w:rPr>
          <w:rFonts w:hint="eastAsia" w:asciiTheme="minorEastAsia" w:hAnsiTheme="minorEastAsia" w:eastAsiaTheme="minorEastAsia" w:cstheme="minorEastAsia"/>
          <w:sz w:val="24"/>
          <w:szCs w:val="24"/>
        </w:rPr>
        <w:t>审计工作，内审是根据年度审计计划开展</w:t>
      </w:r>
      <w:r>
        <w:rPr>
          <w:rFonts w:hint="eastAsia" w:asciiTheme="minorEastAsia" w:hAnsiTheme="minorEastAsia" w:eastAsiaTheme="minorEastAsia" w:cstheme="minorEastAsia"/>
          <w:sz w:val="24"/>
          <w:szCs w:val="24"/>
          <w:lang w:val="en-US" w:eastAsia="zh-CN"/>
        </w:rPr>
        <w:t>的项目</w:t>
      </w:r>
      <w:r>
        <w:rPr>
          <w:rFonts w:hint="eastAsia" w:asciiTheme="minorEastAsia" w:hAnsiTheme="minorEastAsia" w:eastAsiaTheme="minorEastAsia" w:cstheme="minorEastAsia"/>
          <w:sz w:val="24"/>
          <w:szCs w:val="24"/>
        </w:rPr>
        <w:t xml:space="preserve">审计工作。 </w:t>
      </w:r>
    </w:p>
    <w:p>
      <w:pPr>
        <w:pStyle w:val="7"/>
        <w:rPr>
          <w:rFonts w:hint="eastAsia" w:ascii="Times New Roman" w:hAnsi="Times New Roman" w:eastAsia="宋体" w:cs="Times New Roman"/>
          <w:b/>
          <w:bCs/>
          <w:kern w:val="2"/>
          <w:sz w:val="24"/>
          <w:szCs w:val="24"/>
          <w:lang w:val="en-US" w:eastAsia="zh-CN" w:bidi="ar-SA"/>
        </w:rPr>
      </w:pPr>
      <w:bookmarkStart w:id="12" w:name="_Toc27586"/>
      <w:r>
        <w:rPr>
          <w:rFonts w:hint="eastAsia" w:cs="Times New Roman"/>
          <w:b/>
          <w:bCs/>
          <w:kern w:val="2"/>
          <w:sz w:val="24"/>
          <w:szCs w:val="24"/>
          <w:lang w:val="en-US" w:eastAsia="zh-CN" w:bidi="ar-SA"/>
        </w:rPr>
        <w:t>业务基本需求</w:t>
      </w:r>
      <w:bookmarkEnd w:id="12"/>
    </w:p>
    <w:p>
      <w:pPr>
        <w:pStyle w:val="92"/>
        <w:spacing w:line="360" w:lineRule="auto"/>
        <w:ind w:left="0" w:firstLine="42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审计项目管理</w:t>
      </w:r>
      <w:r>
        <w:rPr>
          <w:rFonts w:hint="eastAsia" w:asciiTheme="minorEastAsia" w:hAnsiTheme="minorEastAsia" w:eastAsiaTheme="minorEastAsia"/>
          <w:sz w:val="24"/>
          <w:szCs w:val="24"/>
          <w:lang w:val="en-US" w:eastAsia="zh-CN"/>
        </w:rPr>
        <w:t>包含内部审计项目管理和外部审计项目管理两类，业务活动包含</w:t>
      </w:r>
      <w:r>
        <w:rPr>
          <w:rFonts w:hint="eastAsia" w:asciiTheme="minorEastAsia" w:hAnsiTheme="minorEastAsia" w:eastAsiaTheme="minorEastAsia"/>
          <w:sz w:val="24"/>
          <w:szCs w:val="24"/>
        </w:rPr>
        <w:t>审计通知书、</w:t>
      </w:r>
      <w:r>
        <w:rPr>
          <w:rFonts w:hint="eastAsia" w:asciiTheme="minorEastAsia" w:hAnsiTheme="minorEastAsia" w:eastAsiaTheme="minorEastAsia"/>
          <w:sz w:val="24"/>
          <w:szCs w:val="24"/>
          <w:lang w:val="en-US" w:eastAsia="zh-CN"/>
        </w:rPr>
        <w:t>审计实施（</w:t>
      </w:r>
      <w:r>
        <w:rPr>
          <w:rFonts w:hint="eastAsia" w:asciiTheme="minorEastAsia" w:hAnsiTheme="minorEastAsia" w:eastAsiaTheme="minorEastAsia"/>
          <w:sz w:val="24"/>
          <w:szCs w:val="24"/>
        </w:rPr>
        <w:t>收集资料、</w:t>
      </w:r>
      <w:r>
        <w:rPr>
          <w:rFonts w:hint="eastAsia" w:asciiTheme="minorEastAsia" w:hAnsiTheme="minorEastAsia" w:eastAsiaTheme="minorEastAsia"/>
          <w:sz w:val="24"/>
          <w:szCs w:val="24"/>
          <w:lang w:val="en-US" w:eastAsia="zh-CN"/>
        </w:rPr>
        <w:t>调查</w:t>
      </w:r>
      <w:r>
        <w:rPr>
          <w:rFonts w:hint="eastAsia" w:asciiTheme="minorEastAsia" w:hAnsiTheme="minorEastAsia" w:eastAsiaTheme="minorEastAsia"/>
          <w:sz w:val="24"/>
          <w:szCs w:val="24"/>
        </w:rPr>
        <w:t>取证</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编制工作底稿</w:t>
      </w:r>
      <w:r>
        <w:rPr>
          <w:rFonts w:hint="eastAsia" w:asciiTheme="minorEastAsia" w:hAnsiTheme="minorEastAsia" w:eastAsiaTheme="minorEastAsia"/>
          <w:sz w:val="24"/>
          <w:szCs w:val="24"/>
          <w:lang w:eastAsia="zh-CN"/>
        </w:rPr>
        <w:t>）、</w:t>
      </w:r>
      <w:r>
        <w:rPr>
          <w:rFonts w:hint="eastAsia" w:asciiTheme="minorEastAsia" w:hAnsiTheme="minorEastAsia" w:eastAsiaTheme="minorEastAsia"/>
          <w:sz w:val="24"/>
          <w:szCs w:val="24"/>
          <w:lang w:val="en-US" w:eastAsia="zh-CN"/>
        </w:rPr>
        <w:t>审计报告（出具审计报告征求意见稿、出具正式审计报告）等</w:t>
      </w:r>
      <w:r>
        <w:rPr>
          <w:rFonts w:hint="eastAsia" w:asciiTheme="minorEastAsia" w:hAnsiTheme="minorEastAsia" w:eastAsiaTheme="minorEastAsia"/>
          <w:sz w:val="24"/>
          <w:szCs w:val="24"/>
        </w:rPr>
        <w:t xml:space="preserve">。 </w:t>
      </w:r>
    </w:p>
    <w:p>
      <w:pPr>
        <w:pStyle w:val="92"/>
        <w:spacing w:line="360" w:lineRule="auto"/>
        <w:ind w:left="0" w:firstLine="420"/>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en-US" w:eastAsia="zh-CN"/>
        </w:rPr>
        <w:t>内部审计项目管理</w:t>
      </w:r>
      <w:r>
        <w:rPr>
          <w:rFonts w:hint="eastAsia" w:asciiTheme="minorEastAsia" w:hAnsiTheme="minorEastAsia" w:eastAsiaTheme="minorEastAsia"/>
          <w:b/>
          <w:bCs/>
          <w:sz w:val="24"/>
          <w:szCs w:val="24"/>
        </w:rPr>
        <w:t>业务基本需求如下：</w:t>
      </w:r>
    </w:p>
    <w:p>
      <w:pPr>
        <w:pStyle w:val="92"/>
        <w:numPr>
          <w:ilvl w:val="0"/>
          <w:numId w:val="0"/>
        </w:numPr>
        <w:spacing w:line="360" w:lineRule="auto"/>
        <w:ind w:leftChars="200"/>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1.实现</w:t>
      </w:r>
      <w:r>
        <w:rPr>
          <w:rFonts w:hint="eastAsia" w:asciiTheme="minorEastAsia" w:hAnsiTheme="minorEastAsia" w:eastAsiaTheme="minorEastAsia"/>
          <w:sz w:val="24"/>
          <w:szCs w:val="24"/>
        </w:rPr>
        <w:t>审计通知书</w:t>
      </w:r>
      <w:r>
        <w:rPr>
          <w:rFonts w:hint="eastAsia" w:asciiTheme="minorEastAsia" w:hAnsiTheme="minorEastAsia" w:eastAsiaTheme="minorEastAsia"/>
          <w:sz w:val="24"/>
          <w:szCs w:val="24"/>
          <w:lang w:val="en-US" w:eastAsia="zh-CN"/>
        </w:rPr>
        <w:t>管理，支持审计通知书的制发、送达及回执等管理。</w:t>
      </w:r>
    </w:p>
    <w:p>
      <w:pPr>
        <w:pStyle w:val="92"/>
        <w:numPr>
          <w:ilvl w:val="0"/>
          <w:numId w:val="0"/>
        </w:numPr>
        <w:spacing w:line="360" w:lineRule="auto"/>
        <w:ind w:leftChars="200"/>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2.实现进点会通知管理，支持进点会通知制发、会议纪要等管理。</w:t>
      </w:r>
    </w:p>
    <w:p>
      <w:pPr>
        <w:pStyle w:val="92"/>
        <w:numPr>
          <w:ilvl w:val="0"/>
          <w:numId w:val="0"/>
        </w:numPr>
        <w:spacing w:line="360" w:lineRule="auto"/>
        <w:ind w:leftChars="200"/>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3.实现审计资料管理，支持审计资料清单的发送、审计资料收集及汇总、审计资料台账登记等管理。</w:t>
      </w:r>
    </w:p>
    <w:p>
      <w:pPr>
        <w:pStyle w:val="92"/>
        <w:numPr>
          <w:ilvl w:val="0"/>
          <w:numId w:val="0"/>
        </w:numPr>
        <w:spacing w:line="360" w:lineRule="auto"/>
        <w:ind w:leftChars="200"/>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4.实现审计取证管理，支持审计取证编制、审核、发送及回复、台账登记等管理。</w:t>
      </w:r>
    </w:p>
    <w:p>
      <w:pPr>
        <w:pStyle w:val="92"/>
        <w:numPr>
          <w:ilvl w:val="0"/>
          <w:numId w:val="0"/>
        </w:numPr>
        <w:spacing w:line="360" w:lineRule="auto"/>
        <w:ind w:leftChars="200"/>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5.实现审计工作底稿管理，支持审计工作底稿编制、审核等管理。</w:t>
      </w:r>
    </w:p>
    <w:p>
      <w:pPr>
        <w:pStyle w:val="92"/>
        <w:numPr>
          <w:ilvl w:val="0"/>
          <w:numId w:val="0"/>
        </w:numPr>
        <w:spacing w:line="360" w:lineRule="auto"/>
        <w:ind w:leftChars="200"/>
        <w:rPr>
          <w:rFonts w:hint="default"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6.实现审计报告管理，支持审计报告征求意见稿制发、意见回复、上传等管理，审计报告送审稿审核及出具正式审计报告制发等管理。</w:t>
      </w:r>
    </w:p>
    <w:p>
      <w:pPr>
        <w:pStyle w:val="92"/>
        <w:spacing w:line="360" w:lineRule="auto"/>
        <w:ind w:left="0" w:firstLine="420"/>
        <w:rPr>
          <w:rFonts w:asciiTheme="minorEastAsia" w:hAnsiTheme="minorEastAsia" w:eastAsiaTheme="minorEastAsia"/>
          <w:b/>
          <w:bCs/>
          <w:sz w:val="24"/>
          <w:szCs w:val="24"/>
        </w:rPr>
      </w:pPr>
      <w:r>
        <w:rPr>
          <w:rFonts w:hint="eastAsia" w:asciiTheme="minorEastAsia" w:hAnsiTheme="minorEastAsia" w:eastAsiaTheme="minorEastAsia"/>
          <w:b/>
          <w:bCs/>
          <w:sz w:val="24"/>
          <w:szCs w:val="24"/>
          <w:lang w:val="en-US" w:eastAsia="zh-CN"/>
        </w:rPr>
        <w:t>外部审计项目管理</w:t>
      </w:r>
      <w:r>
        <w:rPr>
          <w:rFonts w:hint="eastAsia" w:asciiTheme="minorEastAsia" w:hAnsiTheme="minorEastAsia" w:eastAsiaTheme="minorEastAsia"/>
          <w:b/>
          <w:bCs/>
          <w:sz w:val="24"/>
          <w:szCs w:val="24"/>
        </w:rPr>
        <w:t>业务基本需求如下：</w:t>
      </w:r>
    </w:p>
    <w:p>
      <w:pPr>
        <w:pStyle w:val="92"/>
        <w:numPr>
          <w:ilvl w:val="0"/>
          <w:numId w:val="0"/>
        </w:numPr>
        <w:spacing w:line="360" w:lineRule="auto"/>
        <w:ind w:leftChars="200"/>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1.实现</w:t>
      </w:r>
      <w:r>
        <w:rPr>
          <w:rFonts w:hint="eastAsia" w:asciiTheme="minorEastAsia" w:hAnsiTheme="minorEastAsia" w:eastAsiaTheme="minorEastAsia"/>
          <w:sz w:val="24"/>
          <w:szCs w:val="24"/>
        </w:rPr>
        <w:t>审计通知书</w:t>
      </w:r>
      <w:r>
        <w:rPr>
          <w:rFonts w:hint="eastAsia" w:asciiTheme="minorEastAsia" w:hAnsiTheme="minorEastAsia" w:eastAsiaTheme="minorEastAsia"/>
          <w:sz w:val="24"/>
          <w:szCs w:val="24"/>
          <w:lang w:val="en-US" w:eastAsia="zh-CN"/>
        </w:rPr>
        <w:t>管理，支持外部审计项目审计通知书等立项资料收取、回执及上传管理。</w:t>
      </w:r>
    </w:p>
    <w:p>
      <w:pPr>
        <w:pStyle w:val="92"/>
        <w:numPr>
          <w:ilvl w:val="0"/>
          <w:numId w:val="0"/>
        </w:numPr>
        <w:spacing w:line="360" w:lineRule="auto"/>
        <w:ind w:leftChars="200"/>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2.实现审计资料管理，支持审计资料清单收取、审计资料收集审核及汇总、审计资料台账登记等管理。</w:t>
      </w:r>
    </w:p>
    <w:p>
      <w:pPr>
        <w:pStyle w:val="92"/>
        <w:numPr>
          <w:ilvl w:val="0"/>
          <w:numId w:val="0"/>
        </w:numPr>
        <w:spacing w:line="360" w:lineRule="auto"/>
        <w:ind w:leftChars="200"/>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3.实现审计调查取证管理，支持审计调查取证记录收取、分解、审核、汇总、回复、上传及台账登记等管理。</w:t>
      </w:r>
    </w:p>
    <w:p>
      <w:pPr>
        <w:pStyle w:val="92"/>
        <w:numPr>
          <w:ilvl w:val="0"/>
          <w:numId w:val="0"/>
        </w:numPr>
        <w:spacing w:line="360" w:lineRule="auto"/>
        <w:ind w:leftChars="200"/>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4.实现审计报告管理，支持审计报告征求意见稿收取、分解、审核、汇总、回复、上传等管理，支持正式审计报告收取、分解、审核、汇总、回复上传等管理。</w:t>
      </w:r>
    </w:p>
    <w:p>
      <w:pPr>
        <w:pStyle w:val="92"/>
        <w:spacing w:line="360" w:lineRule="auto"/>
        <w:ind w:left="0" w:firstLine="480" w:firstLineChars="200"/>
        <w:rPr>
          <w:rFonts w:hint="eastAsia" w:asciiTheme="minorEastAsia" w:hAnsiTheme="minorEastAsia" w:eastAsiaTheme="minorEastAsia"/>
          <w:sz w:val="24"/>
          <w:szCs w:val="24"/>
        </w:rPr>
      </w:pPr>
    </w:p>
    <w:p>
      <w:pPr>
        <w:pStyle w:val="7"/>
        <w:rPr>
          <w:rFonts w:hint="eastAsia" w:ascii="Times New Roman" w:hAnsi="Times New Roman" w:eastAsia="宋体" w:cs="Times New Roman"/>
          <w:b/>
          <w:bCs/>
          <w:kern w:val="2"/>
          <w:sz w:val="24"/>
          <w:szCs w:val="24"/>
          <w:lang w:val="en-US" w:eastAsia="zh-CN" w:bidi="ar-SA"/>
        </w:rPr>
      </w:pPr>
      <w:bookmarkStart w:id="13" w:name="_Toc23981"/>
      <w:r>
        <w:rPr>
          <w:rFonts w:hint="eastAsia" w:cs="Times New Roman"/>
          <w:b/>
          <w:bCs/>
          <w:kern w:val="2"/>
          <w:sz w:val="24"/>
          <w:szCs w:val="24"/>
          <w:lang w:val="en-US" w:eastAsia="zh-CN" w:bidi="ar-SA"/>
        </w:rPr>
        <w:t>详细需求说明</w:t>
      </w:r>
      <w:bookmarkEnd w:id="13"/>
    </w:p>
    <w:p>
      <w:pPr>
        <w:pStyle w:val="8"/>
      </w:pPr>
      <w:r>
        <w:rPr>
          <w:rFonts w:hint="eastAsia"/>
          <w:lang w:val="en-US" w:eastAsia="zh-CN"/>
        </w:rPr>
        <w:t>业务场景</w:t>
      </w:r>
    </w:p>
    <w:p>
      <w:pPr>
        <w:pStyle w:val="5"/>
        <w:rPr>
          <w:rFonts w:hint="default"/>
          <w:b/>
          <w:bCs/>
          <w:sz w:val="24"/>
          <w:szCs w:val="24"/>
          <w:lang w:val="en-US"/>
        </w:rPr>
      </w:pPr>
      <w:r>
        <w:rPr>
          <w:rFonts w:hint="eastAsia"/>
          <w:b/>
          <w:bCs/>
          <w:sz w:val="24"/>
          <w:szCs w:val="24"/>
          <w:lang w:val="en-US" w:eastAsia="zh-CN"/>
        </w:rPr>
        <w:t>1、内审项目审计业务场景</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5652"/>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shd w:val="clear" w:color="auto" w:fill="D7D7D7" w:themeFill="background1" w:themeFillShade="D8"/>
            <w:vAlign w:val="center"/>
          </w:tcPr>
          <w:p>
            <w:pPr>
              <w:pStyle w:val="5"/>
              <w:ind w:left="0" w:leftChars="0" w:firstLine="0" w:firstLineChars="0"/>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阶段</w:t>
            </w:r>
          </w:p>
        </w:tc>
        <w:tc>
          <w:tcPr>
            <w:tcW w:w="5652" w:type="dxa"/>
            <w:shd w:val="clear" w:color="auto" w:fill="D7D7D7" w:themeFill="background1" w:themeFillShade="D8"/>
            <w:vAlign w:val="center"/>
          </w:tcPr>
          <w:p>
            <w:pPr>
              <w:pStyle w:val="5"/>
              <w:ind w:left="0" w:leftChars="0" w:firstLine="0" w:firstLineChars="0"/>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场景</w:t>
            </w:r>
          </w:p>
        </w:tc>
        <w:tc>
          <w:tcPr>
            <w:tcW w:w="1820" w:type="dxa"/>
            <w:shd w:val="clear" w:color="auto" w:fill="D7D7D7" w:themeFill="background1" w:themeFillShade="D8"/>
            <w:vAlign w:val="center"/>
          </w:tcPr>
          <w:p>
            <w:pPr>
              <w:pStyle w:val="5"/>
              <w:ind w:left="0" w:leftChars="0" w:firstLine="0" w:firstLineChars="0"/>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部门/用户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审计通知</w:t>
            </w:r>
          </w:p>
        </w:tc>
        <w:tc>
          <w:tcPr>
            <w:tcW w:w="5652"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内部审计机构在实施审计项目时，应根据批准的年度审计计划编制审计通知书，在实施审计3日前送达被审计对象，如有特殊情况，审计通知书需经集团董事长批准，审计组可以直接持审计通知书实施审计。如涉及经济责任审计项目，审计通知书需送达被审计领导干部及其履职所在单位，并抄送同级纪检、组织人事等部门</w:t>
            </w:r>
          </w:p>
        </w:tc>
        <w:tc>
          <w:tcPr>
            <w:tcW w:w="1820"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审计人员、董事长、被审计对象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审计实施</w:t>
            </w:r>
          </w:p>
        </w:tc>
        <w:tc>
          <w:tcPr>
            <w:tcW w:w="5652"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由内部审计机构负责人组织召开审计进点会，介绍审计的依据、范围、内容和程序，明确被审计对象配合审计工作责任等。审计人员按照审计方案明确的审计分工获取不同种类的审计证据，并编制审计取证记录和审计工作底稿。</w:t>
            </w:r>
          </w:p>
        </w:tc>
        <w:tc>
          <w:tcPr>
            <w:tcW w:w="1820"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审计人员、被审计对象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审计报告</w:t>
            </w:r>
          </w:p>
        </w:tc>
        <w:tc>
          <w:tcPr>
            <w:tcW w:w="5652"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审计人员根据审计工作底稿以及证明材料，编制审计报告</w:t>
            </w:r>
          </w:p>
        </w:tc>
        <w:tc>
          <w:tcPr>
            <w:tcW w:w="1820"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审计人员</w:t>
            </w:r>
          </w:p>
        </w:tc>
      </w:tr>
    </w:tbl>
    <w:p>
      <w:pPr>
        <w:pStyle w:val="5"/>
        <w:rPr>
          <w:rFonts w:hint="default"/>
          <w:b/>
          <w:bCs/>
          <w:sz w:val="24"/>
          <w:szCs w:val="24"/>
          <w:lang w:val="en-US"/>
        </w:rPr>
      </w:pPr>
      <w:r>
        <w:rPr>
          <w:rFonts w:hint="eastAsia"/>
          <w:b/>
          <w:bCs/>
          <w:sz w:val="24"/>
          <w:szCs w:val="24"/>
          <w:lang w:val="en-US" w:eastAsia="zh-CN"/>
        </w:rPr>
        <w:t>2、外审项目审计业务场景</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5652"/>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shd w:val="clear" w:color="auto" w:fill="D7D7D7" w:themeFill="background1" w:themeFillShade="D8"/>
            <w:vAlign w:val="center"/>
          </w:tcPr>
          <w:p>
            <w:pPr>
              <w:pStyle w:val="5"/>
              <w:ind w:left="0" w:leftChars="0" w:firstLine="0" w:firstLineChars="0"/>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阶段</w:t>
            </w:r>
          </w:p>
        </w:tc>
        <w:tc>
          <w:tcPr>
            <w:tcW w:w="5652" w:type="dxa"/>
            <w:shd w:val="clear" w:color="auto" w:fill="D7D7D7" w:themeFill="background1" w:themeFillShade="D8"/>
            <w:vAlign w:val="center"/>
          </w:tcPr>
          <w:p>
            <w:pPr>
              <w:pStyle w:val="5"/>
              <w:ind w:left="0" w:leftChars="0" w:firstLine="0" w:firstLineChars="0"/>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场景</w:t>
            </w:r>
          </w:p>
        </w:tc>
        <w:tc>
          <w:tcPr>
            <w:tcW w:w="1820" w:type="dxa"/>
            <w:shd w:val="clear" w:color="auto" w:fill="D7D7D7" w:themeFill="background1" w:themeFillShade="D8"/>
            <w:vAlign w:val="center"/>
          </w:tcPr>
          <w:p>
            <w:pPr>
              <w:pStyle w:val="5"/>
              <w:ind w:left="0" w:leftChars="0" w:firstLine="0" w:firstLineChars="0"/>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部门/用户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提供资料</w:t>
            </w:r>
          </w:p>
        </w:tc>
        <w:tc>
          <w:tcPr>
            <w:tcW w:w="5652"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由审计机关或上级单位下发审计通知书或审计资料清单给审计法务部，审计法务部按要求组织部署审计任务，并分发审计资料清单给相关部门或下属单位，下属单位或相关部门完成资料收集、提交。审计法务部对提交上来的资料清单进行汇总、核对无误后移交给审计组。</w:t>
            </w:r>
          </w:p>
        </w:tc>
        <w:tc>
          <w:tcPr>
            <w:tcW w:w="1820"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审计机关或上级单位、分管领导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审计取证</w:t>
            </w:r>
          </w:p>
        </w:tc>
        <w:tc>
          <w:tcPr>
            <w:tcW w:w="5652"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审计组编制下发审计取证记录给审计法务部，审计法务部按照职能职责分解审计取证记录给相关部门或下属单位并进行回复，经分管领导审核后由审计法务部对各部门或下属单位回复的审计取证记录意见进行汇总、审核，经审计分管领导、总经理、董事长审批后移交给审计组。</w:t>
            </w:r>
          </w:p>
        </w:tc>
        <w:tc>
          <w:tcPr>
            <w:tcW w:w="1820"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审计组成员、审计法务部审计岗、审计分管领导、总经理、董事长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审计报告</w:t>
            </w:r>
          </w:p>
        </w:tc>
        <w:tc>
          <w:tcPr>
            <w:tcW w:w="5652"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审计组编制、下发审计报告征求意见稿给审计法务部，由审计法务部按职能职责分解审计报告征求意见稿给相关部门或下属单位并按要求进行回复，经审计法务部门汇总、审核后提交至审计分管领导、总经理、董事长审批后报送给审计组，审计组按照回复意见编制下发正式审计报告</w:t>
            </w:r>
          </w:p>
        </w:tc>
        <w:tc>
          <w:tcPr>
            <w:tcW w:w="1820" w:type="dxa"/>
            <w:vAlign w:val="center"/>
          </w:tcPr>
          <w:p>
            <w:pPr>
              <w:pStyle w:val="5"/>
              <w:ind w:left="0" w:leftChars="0" w:firstLine="0" w:firstLineChars="0"/>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审计组成员、审计法务部审计岗、分管领导、总经理、董事长</w:t>
            </w:r>
          </w:p>
        </w:tc>
      </w:tr>
    </w:tbl>
    <w:p>
      <w:pPr>
        <w:pStyle w:val="5"/>
      </w:pP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流程图</w:t>
      </w:r>
    </w:p>
    <w:p>
      <w:pPr>
        <w:pStyle w:val="17"/>
        <w:numPr>
          <w:ilvl w:val="0"/>
          <w:numId w:val="6"/>
        </w:numPr>
        <w:rPr>
          <w:rFonts w:hint="eastAsia" w:asciiTheme="minorEastAsia" w:hAnsiTheme="minorEastAsia" w:eastAsiaTheme="minorEastAsia"/>
          <w:b/>
          <w:sz w:val="24"/>
          <w:szCs w:val="24"/>
          <w:lang w:val="en-US" w:eastAsia="zh-CN"/>
        </w:rPr>
      </w:pPr>
      <w:r>
        <w:rPr>
          <w:rFonts w:hint="eastAsia" w:asciiTheme="minorEastAsia" w:hAnsiTheme="minorEastAsia" w:eastAsiaTheme="minorEastAsia"/>
          <w:b/>
          <w:sz w:val="24"/>
          <w:szCs w:val="24"/>
          <w:lang w:val="en-US" w:eastAsia="zh-CN"/>
        </w:rPr>
        <w:t>内部项目审计流程图</w:t>
      </w:r>
    </w:p>
    <w:p>
      <w:pPr>
        <w:pStyle w:val="17"/>
        <w:numPr>
          <w:ilvl w:val="0"/>
          <w:numId w:val="0"/>
        </w:numPr>
        <w:rPr>
          <w:rFonts w:hint="eastAsia" w:asciiTheme="minorEastAsia" w:hAnsiTheme="minorEastAsia" w:eastAsiaTheme="minorEastAsia"/>
          <w:b/>
          <w:sz w:val="24"/>
          <w:szCs w:val="24"/>
          <w:lang w:val="en-US" w:eastAsia="zh-CN"/>
        </w:rPr>
      </w:pPr>
      <w:r>
        <w:rPr>
          <w:rFonts w:ascii="宋体" w:hAnsi="宋体" w:eastAsia="宋体" w:cs="宋体"/>
          <w:sz w:val="24"/>
          <w:szCs w:val="24"/>
        </w:rPr>
        <w:drawing>
          <wp:inline distT="0" distB="0" distL="114300" distR="114300">
            <wp:extent cx="5600065" cy="5434965"/>
            <wp:effectExtent l="0" t="0" r="8255" b="5715"/>
            <wp:docPr id="1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descr="IMG_256"/>
                    <pic:cNvPicPr>
                      <a:picLocks noChangeAspect="1"/>
                    </pic:cNvPicPr>
                  </pic:nvPicPr>
                  <pic:blipFill>
                    <a:blip r:embed="rId10"/>
                    <a:stretch>
                      <a:fillRect/>
                    </a:stretch>
                  </pic:blipFill>
                  <pic:spPr>
                    <a:xfrm>
                      <a:off x="0" y="0"/>
                      <a:ext cx="5600065" cy="5434965"/>
                    </a:xfrm>
                    <a:prstGeom prst="rect">
                      <a:avLst/>
                    </a:prstGeom>
                    <a:noFill/>
                    <a:ln w="9525">
                      <a:noFill/>
                    </a:ln>
                  </pic:spPr>
                </pic:pic>
              </a:graphicData>
            </a:graphic>
          </wp:inline>
        </w:drawing>
      </w:r>
    </w:p>
    <w:p>
      <w:pPr>
        <w:pStyle w:val="17"/>
        <w:numPr>
          <w:ilvl w:val="0"/>
          <w:numId w:val="0"/>
        </w:numPr>
        <w:rPr>
          <w:rFonts w:hint="eastAsia" w:asciiTheme="minorEastAsia" w:hAnsiTheme="minorEastAsia" w:eastAsiaTheme="minorEastAsia"/>
          <w:b/>
          <w:sz w:val="24"/>
          <w:szCs w:val="24"/>
          <w:lang w:val="en-US" w:eastAsia="zh-CN"/>
        </w:rPr>
      </w:pPr>
      <w:r>
        <w:rPr>
          <w:rFonts w:hint="eastAsia" w:asciiTheme="minorEastAsia" w:hAnsiTheme="minorEastAsia" w:eastAsiaTheme="minorEastAsia"/>
          <w:b/>
          <w:sz w:val="24"/>
          <w:szCs w:val="24"/>
          <w:lang w:val="en-US" w:eastAsia="zh-CN"/>
        </w:rPr>
        <w:t>流程说明：</w:t>
      </w:r>
    </w:p>
    <w:tbl>
      <w:tblPr>
        <w:tblStyle w:val="33"/>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72" w:type="dxa"/>
          <w:bottom w:w="0" w:type="dxa"/>
          <w:right w:w="72" w:type="dxa"/>
        </w:tblCellMar>
      </w:tblPr>
      <w:tblGrid>
        <w:gridCol w:w="1127"/>
        <w:gridCol w:w="1292"/>
        <w:gridCol w:w="1801"/>
        <w:gridCol w:w="1695"/>
        <w:gridCol w:w="723"/>
        <w:gridCol w:w="1074"/>
        <w:gridCol w:w="12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12" w:space="0"/>
              <w:left w:val="single" w:color="auto" w:sz="12" w:space="0"/>
              <w:bottom w:val="single" w:color="auto" w:sz="8" w:space="0"/>
              <w:right w:val="single" w:color="auto" w:sz="12" w:space="0"/>
            </w:tcBorders>
            <w:shd w:val="clear" w:color="auto" w:fill="EAEAEA"/>
            <w:vAlign w:val="center"/>
          </w:tcPr>
          <w:p>
            <w:pPr>
              <w:pStyle w:val="94"/>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流程编号：</w:t>
            </w:r>
            <w:r>
              <w:rPr>
                <w:rFonts w:hint="eastAsia" w:ascii="宋体" w:hAnsi="宋体" w:eastAsia="宋体" w:cs="宋体"/>
                <w:color w:val="000000"/>
                <w:sz w:val="21"/>
                <w:szCs w:val="21"/>
                <w:lang w:val="en-US" w:eastAsia="zh-CN"/>
              </w:rPr>
              <w:t>FB_IA_001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8" w:space="0"/>
              <w:right w:val="single" w:color="auto" w:sz="12" w:space="0"/>
            </w:tcBorders>
            <w:shd w:val="clear" w:color="auto" w:fill="EAEAEA"/>
            <w:vAlign w:val="center"/>
          </w:tcPr>
          <w:p>
            <w:pPr>
              <w:pStyle w:val="94"/>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流程名称：</w:t>
            </w:r>
            <w:r>
              <w:rPr>
                <w:rFonts w:hint="eastAsia" w:ascii="宋体" w:hAnsi="宋体" w:eastAsia="宋体" w:cs="宋体"/>
                <w:color w:val="000000"/>
                <w:sz w:val="21"/>
                <w:szCs w:val="21"/>
                <w:lang w:val="en-US" w:eastAsia="zh-CN"/>
              </w:rPr>
              <w:t>内部项目审计流程图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12" w:space="0"/>
              <w:right w:val="single" w:color="auto" w:sz="12" w:space="0"/>
            </w:tcBorders>
            <w:shd w:val="clear" w:color="auto" w:fill="EAEAEA"/>
            <w:vAlign w:val="center"/>
          </w:tcPr>
          <w:p>
            <w:pPr>
              <w:pStyle w:val="94"/>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流程版本：</w:t>
            </w:r>
            <w:r>
              <w:rPr>
                <w:rFonts w:hint="eastAsia" w:ascii="宋体" w:hAnsi="宋体" w:eastAsia="宋体" w:cs="宋体"/>
                <w:color w:val="000000"/>
                <w:sz w:val="21"/>
                <w:szCs w:val="21"/>
                <w:lang w:val="en-US" w:eastAsia="zh-CN"/>
              </w:rPr>
              <w:t>V1.0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631" w:type="pct"/>
            <w:tcBorders>
              <w:top w:val="single" w:color="auto" w:sz="12" w:space="0"/>
              <w:left w:val="single" w:color="auto" w:sz="12" w:space="0"/>
              <w:bottom w:val="single" w:color="auto" w:sz="6" w:space="0"/>
              <w:right w:val="single" w:color="auto" w:sz="6" w:space="0"/>
            </w:tcBorders>
            <w:shd w:val="clear" w:color="auto" w:fill="EAEAEA"/>
            <w:vAlign w:val="center"/>
          </w:tcPr>
          <w:p>
            <w:pPr>
              <w:pStyle w:val="94"/>
              <w:jc w:val="center"/>
              <w:rPr>
                <w:rFonts w:hint="eastAsia" w:ascii="宋体" w:hAnsi="宋体" w:eastAsia="宋体" w:cs="宋体"/>
                <w:color w:val="000000"/>
                <w:sz w:val="21"/>
                <w:szCs w:val="21"/>
              </w:rPr>
            </w:pPr>
            <w:r>
              <w:rPr>
                <w:rFonts w:hint="eastAsia" w:ascii="宋体" w:hAnsi="宋体" w:eastAsia="宋体" w:cs="宋体"/>
                <w:color w:val="000000"/>
                <w:sz w:val="21"/>
                <w:szCs w:val="21"/>
              </w:rPr>
              <w:t>步骤编号</w:t>
            </w:r>
          </w:p>
        </w:tc>
        <w:tc>
          <w:tcPr>
            <w:tcW w:w="723"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hint="eastAsia" w:ascii="宋体" w:hAnsi="宋体" w:eastAsia="宋体" w:cs="宋体"/>
                <w:color w:val="000000"/>
                <w:sz w:val="21"/>
                <w:szCs w:val="21"/>
              </w:rPr>
            </w:pPr>
            <w:r>
              <w:rPr>
                <w:rFonts w:hint="eastAsia" w:ascii="宋体" w:hAnsi="宋体" w:eastAsia="宋体" w:cs="宋体"/>
                <w:color w:val="000000"/>
                <w:sz w:val="21"/>
                <w:szCs w:val="21"/>
              </w:rPr>
              <w:t>步骤名称</w:t>
            </w:r>
          </w:p>
        </w:tc>
        <w:tc>
          <w:tcPr>
            <w:tcW w:w="1008"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业务过程描述</w:t>
            </w:r>
          </w:p>
        </w:tc>
        <w:tc>
          <w:tcPr>
            <w:tcW w:w="949"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jc w:val="center"/>
              <w:rPr>
                <w:rFonts w:hint="eastAsia" w:ascii="宋体" w:hAnsi="宋体" w:eastAsia="宋体" w:cs="宋体"/>
                <w:color w:val="000000"/>
                <w:sz w:val="21"/>
                <w:szCs w:val="21"/>
              </w:rPr>
            </w:pPr>
            <w:r>
              <w:rPr>
                <w:rFonts w:hint="eastAsia" w:ascii="宋体" w:hAnsi="宋体" w:eastAsia="宋体" w:cs="宋体"/>
                <w:color w:val="000000"/>
                <w:sz w:val="21"/>
                <w:szCs w:val="21"/>
              </w:rPr>
              <w:t>责任部门/岗位</w:t>
            </w:r>
          </w:p>
        </w:tc>
        <w:tc>
          <w:tcPr>
            <w:tcW w:w="405"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hint="eastAsia" w:ascii="宋体" w:hAnsi="宋体" w:eastAsia="宋体" w:cs="宋体"/>
                <w:color w:val="000000"/>
                <w:sz w:val="21"/>
                <w:szCs w:val="21"/>
              </w:rPr>
            </w:pPr>
            <w:r>
              <w:rPr>
                <w:rFonts w:hint="eastAsia" w:ascii="宋体" w:hAnsi="宋体" w:eastAsia="宋体" w:cs="宋体"/>
                <w:color w:val="000000"/>
                <w:sz w:val="21"/>
                <w:szCs w:val="21"/>
              </w:rPr>
              <w:t>处理方式</w:t>
            </w:r>
          </w:p>
        </w:tc>
        <w:tc>
          <w:tcPr>
            <w:tcW w:w="601"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hint="eastAsia" w:ascii="宋体" w:hAnsi="宋体" w:eastAsia="宋体" w:cs="宋体"/>
                <w:color w:val="000000"/>
                <w:sz w:val="21"/>
                <w:szCs w:val="21"/>
              </w:rPr>
            </w:pPr>
            <w:r>
              <w:rPr>
                <w:rFonts w:hint="eastAsia" w:ascii="宋体" w:hAnsi="宋体" w:eastAsia="宋体" w:cs="宋体"/>
                <w:color w:val="000000"/>
                <w:sz w:val="21"/>
                <w:szCs w:val="21"/>
              </w:rPr>
              <w:t>输入文档</w:t>
            </w:r>
          </w:p>
        </w:tc>
        <w:tc>
          <w:tcPr>
            <w:tcW w:w="678" w:type="pct"/>
            <w:tcBorders>
              <w:top w:val="single" w:color="auto" w:sz="12" w:space="0"/>
              <w:left w:val="single" w:color="auto" w:sz="8" w:space="0"/>
              <w:bottom w:val="single" w:color="auto" w:sz="6" w:space="0"/>
              <w:right w:val="single" w:color="auto" w:sz="12" w:space="0"/>
            </w:tcBorders>
            <w:shd w:val="clear" w:color="auto" w:fill="EAEAEA"/>
            <w:vAlign w:val="center"/>
          </w:tcPr>
          <w:p>
            <w:pPr>
              <w:pStyle w:val="94"/>
              <w:jc w:val="center"/>
              <w:rPr>
                <w:rFonts w:hint="eastAsia" w:ascii="宋体" w:hAnsi="宋体" w:eastAsia="宋体" w:cs="宋体"/>
                <w:color w:val="000000"/>
                <w:sz w:val="21"/>
                <w:szCs w:val="21"/>
              </w:rPr>
            </w:pPr>
            <w:r>
              <w:rPr>
                <w:rFonts w:hint="eastAsia" w:ascii="宋体" w:hAnsi="宋体" w:eastAsia="宋体" w:cs="宋体"/>
                <w:color w:val="000000"/>
                <w:sz w:val="21"/>
                <w:szCs w:val="21"/>
              </w:rPr>
              <w:t>输出文档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60" w:hRule="exact"/>
        </w:trPr>
        <w:tc>
          <w:tcPr>
            <w:tcW w:w="631" w:type="pct"/>
            <w:tcBorders>
              <w:top w:val="single" w:color="auto" w:sz="6" w:space="0"/>
              <w:left w:val="nil"/>
              <w:bottom w:val="single" w:color="auto" w:sz="6" w:space="0"/>
              <w:right w:val="single" w:color="auto" w:sz="6" w:space="0"/>
            </w:tcBorders>
            <w:shd w:val="pct50" w:color="auto" w:fill="auto"/>
            <w:vAlign w:val="center"/>
          </w:tcPr>
          <w:p>
            <w:pPr>
              <w:pStyle w:val="93"/>
              <w:jc w:val="both"/>
              <w:rPr>
                <w:rFonts w:hint="eastAsia" w:ascii="宋体" w:hAnsi="宋体" w:eastAsia="宋体" w:cs="宋体"/>
                <w:color w:val="000000"/>
                <w:sz w:val="21"/>
                <w:szCs w:val="21"/>
              </w:rPr>
            </w:pPr>
          </w:p>
        </w:tc>
        <w:tc>
          <w:tcPr>
            <w:tcW w:w="723"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hint="eastAsia" w:ascii="宋体" w:hAnsi="宋体" w:eastAsia="宋体" w:cs="宋体"/>
                <w:color w:val="000000"/>
                <w:sz w:val="21"/>
                <w:szCs w:val="21"/>
              </w:rPr>
            </w:pPr>
          </w:p>
        </w:tc>
        <w:tc>
          <w:tcPr>
            <w:tcW w:w="1008"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jc w:val="both"/>
              <w:rPr>
                <w:rFonts w:hint="eastAsia" w:ascii="宋体" w:hAnsi="宋体" w:eastAsia="宋体" w:cs="宋体"/>
                <w:color w:val="000000"/>
                <w:sz w:val="21"/>
                <w:szCs w:val="21"/>
              </w:rPr>
            </w:pPr>
          </w:p>
        </w:tc>
        <w:tc>
          <w:tcPr>
            <w:tcW w:w="949"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jc w:val="both"/>
              <w:rPr>
                <w:rFonts w:hint="eastAsia" w:ascii="宋体" w:hAnsi="宋体" w:eastAsia="宋体" w:cs="宋体"/>
                <w:color w:val="000000"/>
                <w:sz w:val="21"/>
                <w:szCs w:val="21"/>
              </w:rPr>
            </w:pPr>
          </w:p>
        </w:tc>
        <w:tc>
          <w:tcPr>
            <w:tcW w:w="405"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hint="eastAsia" w:ascii="宋体" w:hAnsi="宋体" w:eastAsia="宋体" w:cs="宋体"/>
                <w:color w:val="000000"/>
                <w:sz w:val="21"/>
                <w:szCs w:val="21"/>
              </w:rPr>
            </w:pPr>
          </w:p>
        </w:tc>
        <w:tc>
          <w:tcPr>
            <w:tcW w:w="601"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hint="eastAsia" w:ascii="宋体" w:hAnsi="宋体" w:eastAsia="宋体" w:cs="宋体"/>
                <w:color w:val="000000"/>
                <w:sz w:val="21"/>
                <w:szCs w:val="21"/>
              </w:rPr>
            </w:pPr>
          </w:p>
        </w:tc>
        <w:tc>
          <w:tcPr>
            <w:tcW w:w="678" w:type="pct"/>
            <w:tcBorders>
              <w:top w:val="single" w:color="auto" w:sz="6" w:space="0"/>
              <w:left w:val="single" w:color="auto" w:sz="8" w:space="0"/>
              <w:bottom w:val="single" w:color="auto" w:sz="6" w:space="0"/>
              <w:right w:val="nil"/>
            </w:tcBorders>
            <w:shd w:val="pct50" w:color="auto" w:fill="auto"/>
            <w:vAlign w:val="center"/>
          </w:tcPr>
          <w:p>
            <w:pPr>
              <w:pStyle w:val="93"/>
              <w:jc w:val="both"/>
              <w:rPr>
                <w:rFonts w:hint="eastAsia"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A1_01</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cs="宋体"/>
                <w:color w:val="000000"/>
                <w:sz w:val="21"/>
                <w:szCs w:val="21"/>
                <w:lang w:val="en-US" w:eastAsia="zh-CN"/>
              </w:rPr>
              <w:t>制发</w:t>
            </w:r>
            <w:r>
              <w:rPr>
                <w:rFonts w:hint="eastAsia" w:ascii="宋体" w:hAnsi="宋体" w:eastAsia="宋体" w:cs="宋体"/>
                <w:color w:val="000000"/>
                <w:sz w:val="21"/>
                <w:szCs w:val="21"/>
                <w:lang w:val="en-US" w:eastAsia="zh-CN"/>
              </w:rPr>
              <w:t>审计通知书</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由审计组审计人员编制审计通知书</w:t>
            </w:r>
            <w:r>
              <w:rPr>
                <w:rFonts w:hint="eastAsia" w:ascii="宋体" w:hAnsi="宋体" w:cs="宋体"/>
                <w:color w:val="000000"/>
                <w:sz w:val="21"/>
                <w:szCs w:val="21"/>
                <w:lang w:val="en-US" w:eastAsia="zh-CN"/>
              </w:rPr>
              <w:t>，并履行发文审批程序</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审计组/审计人员</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无</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审计通知书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A1_02</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收悉</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被审计对象、相关部门收悉审计通知书并回执</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rPr>
            </w:pPr>
            <w:r>
              <w:rPr>
                <w:rFonts w:hint="eastAsia" w:ascii="宋体" w:hAnsi="宋体" w:eastAsia="宋体" w:cs="宋体"/>
                <w:color w:val="000000"/>
                <w:sz w:val="21"/>
                <w:szCs w:val="21"/>
                <w:lang w:val="en-US" w:eastAsia="zh-CN"/>
              </w:rPr>
              <w:t>被审计对象/相关部门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审计通知书</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A1_03</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编制进点会通知</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由审计组审计人员编制进点会议通知</w:t>
            </w:r>
            <w:r>
              <w:rPr>
                <w:rFonts w:hint="eastAsia" w:ascii="宋体" w:hAnsi="宋体" w:cs="宋体"/>
                <w:color w:val="000000"/>
                <w:sz w:val="21"/>
                <w:szCs w:val="21"/>
                <w:lang w:val="en-US" w:eastAsia="zh-CN"/>
              </w:rPr>
              <w:t>，并履行发文审批程序</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审计组</w:t>
            </w:r>
            <w:r>
              <w:rPr>
                <w:rFonts w:hint="eastAsia" w:ascii="宋体" w:hAnsi="宋体" w:cs="宋体"/>
                <w:color w:val="000000"/>
                <w:sz w:val="21"/>
                <w:szCs w:val="21"/>
                <w:lang w:val="en-US" w:eastAsia="zh-CN"/>
              </w:rPr>
              <w:t>/审计人员</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无</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进点会会议通知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A1_04</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收悉</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被审计对象收悉进点会议通知，并参加进点会</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被审计对象</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进点会会议通知</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进点会会议纪要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A1_05</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发布审计资料清单</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由审计组人员发布需提供收集的审计资料清单</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宋体" w:hAnsi="宋体" w:eastAsia="宋体" w:cs="宋体"/>
                <w:color w:val="000000"/>
                <w:sz w:val="21"/>
                <w:szCs w:val="21"/>
                <w:lang w:val="en-US"/>
              </w:rPr>
            </w:pPr>
            <w:r>
              <w:rPr>
                <w:rFonts w:hint="eastAsia" w:ascii="宋体" w:hAnsi="宋体" w:eastAsia="宋体" w:cs="宋体"/>
                <w:color w:val="000000"/>
                <w:sz w:val="21"/>
                <w:szCs w:val="21"/>
                <w:lang w:val="en-US" w:eastAsia="zh-CN"/>
              </w:rPr>
              <w:t>审计组</w:t>
            </w:r>
            <w:r>
              <w:rPr>
                <w:rFonts w:hint="eastAsia" w:ascii="宋体" w:hAnsi="宋体" w:cs="宋体"/>
                <w:color w:val="000000"/>
                <w:sz w:val="21"/>
                <w:szCs w:val="21"/>
                <w:lang w:val="en-US" w:eastAsia="zh-CN"/>
              </w:rPr>
              <w:t>/审计人员</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无</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审计资料清单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A1_06</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收集/提交审计资料</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由被审计对象收集资料</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被审计对象</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审计资料清单</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A1_07</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汇总/核对审计资料</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由审计组人员汇总审计资料并核对</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宋体" w:hAnsi="宋体" w:eastAsia="宋体" w:cs="宋体"/>
                <w:color w:val="000000"/>
                <w:sz w:val="21"/>
                <w:szCs w:val="21"/>
                <w:lang w:val="en-US"/>
              </w:rPr>
            </w:pPr>
            <w:r>
              <w:rPr>
                <w:rFonts w:hint="eastAsia" w:ascii="宋体" w:hAnsi="宋体" w:eastAsia="宋体" w:cs="宋体"/>
                <w:color w:val="000000"/>
                <w:sz w:val="21"/>
                <w:szCs w:val="21"/>
                <w:lang w:val="en-US" w:eastAsia="zh-CN"/>
              </w:rPr>
              <w:t>审计组</w:t>
            </w:r>
            <w:r>
              <w:rPr>
                <w:rFonts w:hint="eastAsia" w:ascii="宋体" w:hAnsi="宋体" w:cs="宋体"/>
                <w:color w:val="000000"/>
                <w:sz w:val="21"/>
                <w:szCs w:val="21"/>
                <w:lang w:val="en-US" w:eastAsia="zh-CN"/>
              </w:rPr>
              <w:t>/审计人员</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审计资料</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A1_08</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编制审计访谈、取证记录</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由审计组人员开展访谈和调查取证，并编制调查取证记录</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宋体" w:hAnsi="宋体" w:eastAsia="宋体" w:cs="宋体"/>
                <w:color w:val="000000"/>
                <w:sz w:val="21"/>
                <w:szCs w:val="21"/>
                <w:lang w:val="en-US"/>
              </w:rPr>
            </w:pPr>
            <w:r>
              <w:rPr>
                <w:rFonts w:hint="eastAsia" w:ascii="宋体" w:hAnsi="宋体" w:eastAsia="宋体" w:cs="宋体"/>
                <w:color w:val="000000"/>
                <w:sz w:val="21"/>
                <w:szCs w:val="21"/>
                <w:lang w:val="en-US" w:eastAsia="zh-CN"/>
              </w:rPr>
              <w:t>审计组</w:t>
            </w:r>
            <w:r>
              <w:rPr>
                <w:rFonts w:hint="eastAsia" w:ascii="宋体" w:hAnsi="宋体" w:cs="宋体"/>
                <w:color w:val="000000"/>
                <w:sz w:val="21"/>
                <w:szCs w:val="21"/>
                <w:lang w:val="en-US" w:eastAsia="zh-CN"/>
              </w:rPr>
              <w:t>/审计人员</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无</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审计取证、访谈记录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A1_09</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回复审计访谈、取证记录</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由被审计对象回复调查取证记录</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被审计对象</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审计取证、访谈记录</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审计访谈、取证记录</w:t>
            </w:r>
            <w:r>
              <w:rPr>
                <w:rFonts w:hint="eastAsia" w:ascii="宋体" w:hAnsi="宋体" w:cs="宋体"/>
                <w:color w:val="000000"/>
                <w:sz w:val="21"/>
                <w:szCs w:val="21"/>
                <w:lang w:val="en-US" w:eastAsia="zh-CN"/>
              </w:rPr>
              <w:t>回复</w:t>
            </w:r>
            <w:r>
              <w:rPr>
                <w:rFonts w:hint="eastAsia" w:ascii="宋体" w:hAnsi="宋体" w:eastAsia="宋体" w:cs="宋体"/>
                <w:color w:val="000000"/>
                <w:sz w:val="21"/>
                <w:szCs w:val="21"/>
                <w:lang w:val="en-US" w:eastAsia="zh-CN"/>
              </w:rPr>
              <w:t>意见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A1_10</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编制审计工作底稿</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由审计组</w:t>
            </w:r>
            <w:r>
              <w:rPr>
                <w:rFonts w:hint="eastAsia" w:ascii="宋体" w:hAnsi="宋体" w:cs="宋体"/>
                <w:color w:val="000000"/>
                <w:sz w:val="21"/>
                <w:szCs w:val="21"/>
                <w:lang w:val="en-US" w:eastAsia="zh-CN"/>
              </w:rPr>
              <w:t>人员</w:t>
            </w:r>
            <w:r>
              <w:rPr>
                <w:rFonts w:hint="eastAsia" w:ascii="宋体" w:hAnsi="宋体" w:eastAsia="宋体" w:cs="宋体"/>
                <w:color w:val="000000"/>
                <w:sz w:val="21"/>
                <w:szCs w:val="21"/>
                <w:lang w:val="en-US" w:eastAsia="zh-CN"/>
              </w:rPr>
              <w:t>编制审计工作底稿</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宋体" w:hAnsi="宋体" w:eastAsia="宋体" w:cs="宋体"/>
                <w:color w:val="000000"/>
                <w:sz w:val="21"/>
                <w:szCs w:val="21"/>
                <w:lang w:val="en-US"/>
              </w:rPr>
            </w:pPr>
            <w:r>
              <w:rPr>
                <w:rFonts w:hint="eastAsia" w:ascii="宋体" w:hAnsi="宋体" w:eastAsia="宋体" w:cs="宋体"/>
                <w:color w:val="000000"/>
                <w:sz w:val="21"/>
                <w:szCs w:val="21"/>
                <w:lang w:val="en-US" w:eastAsia="zh-CN"/>
              </w:rPr>
              <w:t>审计组</w:t>
            </w:r>
            <w:r>
              <w:rPr>
                <w:rFonts w:hint="eastAsia" w:ascii="宋体" w:hAnsi="宋体" w:cs="宋体"/>
                <w:color w:val="000000"/>
                <w:sz w:val="21"/>
                <w:szCs w:val="21"/>
                <w:lang w:val="en-US" w:eastAsia="zh-CN"/>
              </w:rPr>
              <w:t>/审计人员</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无</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审计工作底稿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A1_11</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编制、研究讨论审计报告</w:t>
            </w:r>
            <w:r>
              <w:rPr>
                <w:rFonts w:hint="eastAsia" w:ascii="宋体" w:hAnsi="宋体" w:cs="宋体"/>
                <w:color w:val="000000"/>
                <w:sz w:val="21"/>
                <w:szCs w:val="21"/>
                <w:lang w:val="en-US" w:eastAsia="zh-CN"/>
              </w:rPr>
              <w:t>初稿</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由审计组编制、研究讨论审计报告</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审计组</w:t>
            </w:r>
            <w:r>
              <w:rPr>
                <w:rFonts w:hint="eastAsia" w:ascii="宋体" w:hAnsi="宋体" w:cs="宋体"/>
                <w:color w:val="000000"/>
                <w:sz w:val="21"/>
                <w:szCs w:val="21"/>
                <w:lang w:val="en-US" w:eastAsia="zh-CN"/>
              </w:rPr>
              <w:t>/审计人员</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审计工作底稿</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审计报告</w:t>
            </w:r>
            <w:r>
              <w:rPr>
                <w:rFonts w:hint="eastAsia" w:ascii="宋体" w:hAnsi="宋体" w:cs="宋体"/>
                <w:color w:val="000000"/>
                <w:sz w:val="21"/>
                <w:szCs w:val="21"/>
                <w:lang w:val="en-US" w:eastAsia="zh-CN"/>
              </w:rPr>
              <w:t>初稿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A1_12</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形成审计报告征求意见稿</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由审计组成员编制审计报告征求意见搞</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宋体" w:hAnsi="宋体" w:eastAsia="宋体" w:cs="宋体"/>
                <w:color w:val="000000"/>
                <w:sz w:val="21"/>
                <w:szCs w:val="21"/>
                <w:lang w:val="en-US"/>
              </w:rPr>
            </w:pPr>
            <w:r>
              <w:rPr>
                <w:rFonts w:hint="eastAsia" w:ascii="宋体" w:hAnsi="宋体" w:eastAsia="宋体" w:cs="宋体"/>
                <w:color w:val="000000"/>
                <w:sz w:val="21"/>
                <w:szCs w:val="21"/>
                <w:lang w:val="en-US" w:eastAsia="zh-CN"/>
              </w:rPr>
              <w:t>审计组</w:t>
            </w:r>
            <w:r>
              <w:rPr>
                <w:rFonts w:hint="eastAsia" w:ascii="宋体" w:hAnsi="宋体" w:cs="宋体"/>
                <w:color w:val="000000"/>
                <w:sz w:val="21"/>
                <w:szCs w:val="21"/>
                <w:lang w:val="en-US" w:eastAsia="zh-CN"/>
              </w:rPr>
              <w:t>/审计人员</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审计报告</w:t>
            </w:r>
            <w:r>
              <w:rPr>
                <w:rFonts w:hint="eastAsia" w:ascii="宋体" w:hAnsi="宋体" w:cs="宋体"/>
                <w:color w:val="000000"/>
                <w:sz w:val="21"/>
                <w:szCs w:val="21"/>
                <w:lang w:val="en-US" w:eastAsia="zh-CN"/>
              </w:rPr>
              <w:t>初</w:t>
            </w:r>
            <w:r>
              <w:rPr>
                <w:rFonts w:hint="eastAsia" w:ascii="宋体" w:hAnsi="宋体" w:eastAsia="宋体" w:cs="宋体"/>
                <w:color w:val="000000"/>
                <w:sz w:val="21"/>
                <w:szCs w:val="21"/>
                <w:lang w:val="en-US" w:eastAsia="zh-CN"/>
              </w:rPr>
              <w:t>稿</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审计报告征求意见稿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A1_13</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回复审计报告征求意见稿意见</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被审计对象回复审计报告征求意见稿意见</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被审计对象</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审计报告征求意见稿</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审计报告征求意见稿</w:t>
            </w:r>
            <w:r>
              <w:rPr>
                <w:rFonts w:hint="eastAsia" w:ascii="宋体" w:hAnsi="宋体" w:cs="宋体"/>
                <w:color w:val="000000"/>
                <w:sz w:val="21"/>
                <w:szCs w:val="21"/>
                <w:lang w:val="en-US" w:eastAsia="zh-CN"/>
              </w:rPr>
              <w:t>回复</w:t>
            </w:r>
            <w:r>
              <w:rPr>
                <w:rFonts w:hint="eastAsia" w:ascii="宋体" w:hAnsi="宋体" w:eastAsia="宋体" w:cs="宋体"/>
                <w:color w:val="000000"/>
                <w:sz w:val="21"/>
                <w:szCs w:val="21"/>
                <w:lang w:val="en-US" w:eastAsia="zh-CN"/>
              </w:rPr>
              <w:t>意见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A1_14</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审计报告送审稿</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审计组编制审计报告送审稿，经审计法务部负责人、</w:t>
            </w:r>
            <w:r>
              <w:rPr>
                <w:rFonts w:hint="eastAsia" w:ascii="宋体" w:hAnsi="宋体" w:cs="宋体"/>
                <w:color w:val="000000"/>
                <w:sz w:val="21"/>
                <w:szCs w:val="21"/>
                <w:lang w:val="en-US" w:eastAsia="zh-CN"/>
              </w:rPr>
              <w:t>审计</w:t>
            </w:r>
            <w:r>
              <w:rPr>
                <w:rFonts w:hint="eastAsia" w:ascii="宋体" w:hAnsi="宋体" w:eastAsia="宋体" w:cs="宋体"/>
                <w:color w:val="000000"/>
                <w:sz w:val="21"/>
                <w:szCs w:val="21"/>
                <w:lang w:val="en-US" w:eastAsia="zh-CN"/>
              </w:rPr>
              <w:t>分管领导、总经理、董事长审批、党委会研究和董事会审议</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审计组</w:t>
            </w:r>
            <w:r>
              <w:rPr>
                <w:rFonts w:hint="eastAsia" w:ascii="宋体" w:hAnsi="宋体" w:cs="宋体"/>
                <w:color w:val="000000"/>
                <w:sz w:val="21"/>
                <w:szCs w:val="21"/>
                <w:lang w:val="en-US" w:eastAsia="zh-CN"/>
              </w:rPr>
              <w:t>/审计人员</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审计报告征求意见稿</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审计报告送审稿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A1_15</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出具正式审计报告</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审计组编制正式审计报告</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审计组</w:t>
            </w:r>
            <w:r>
              <w:rPr>
                <w:rFonts w:hint="eastAsia" w:ascii="宋体" w:hAnsi="宋体" w:cs="宋体"/>
                <w:color w:val="000000"/>
                <w:sz w:val="21"/>
                <w:szCs w:val="21"/>
                <w:lang w:val="en-US" w:eastAsia="zh-CN"/>
              </w:rPr>
              <w:t>/审计人员</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审计报告送审稿</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正式审计报告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A1_16</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收悉并整改</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被审计对象收悉正式审计报告并开展问题整改</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被审计对象</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cs="宋体"/>
                <w:color w:val="000000"/>
                <w:sz w:val="21"/>
                <w:szCs w:val="21"/>
                <w:lang w:val="en-US" w:eastAsia="zh-CN"/>
              </w:rPr>
              <w:t>审计整改通知书及</w:t>
            </w:r>
            <w:r>
              <w:rPr>
                <w:rFonts w:hint="eastAsia" w:ascii="宋体" w:hAnsi="宋体" w:eastAsia="宋体" w:cs="宋体"/>
                <w:color w:val="000000"/>
                <w:sz w:val="21"/>
                <w:szCs w:val="21"/>
                <w:lang w:val="en-US" w:eastAsia="zh-CN"/>
              </w:rPr>
              <w:t>审计报告</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审计整改报告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A1_17</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收悉</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相关部门收到正式审计报告</w:t>
            </w:r>
            <w:r>
              <w:rPr>
                <w:rFonts w:hint="eastAsia" w:ascii="宋体" w:hAnsi="宋体" w:cs="宋体"/>
                <w:color w:val="000000"/>
                <w:sz w:val="21"/>
                <w:szCs w:val="21"/>
                <w:lang w:val="en-US" w:eastAsia="zh-CN"/>
              </w:rPr>
              <w:t>后备案</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相关部门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审计报告</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无</w:t>
            </w:r>
          </w:p>
        </w:tc>
      </w:tr>
    </w:tbl>
    <w:p>
      <w:pPr>
        <w:pStyle w:val="17"/>
        <w:numPr>
          <w:ilvl w:val="0"/>
          <w:numId w:val="6"/>
        </w:numPr>
        <w:rPr>
          <w:rFonts w:hint="eastAsia" w:asciiTheme="minorEastAsia" w:hAnsiTheme="minorEastAsia" w:eastAsiaTheme="minorEastAsia"/>
          <w:b/>
          <w:sz w:val="24"/>
          <w:szCs w:val="24"/>
          <w:lang w:val="en-US" w:eastAsia="zh-CN"/>
        </w:rPr>
      </w:pPr>
      <w:r>
        <w:rPr>
          <w:rFonts w:hint="eastAsia" w:asciiTheme="minorEastAsia" w:hAnsiTheme="minorEastAsia" w:eastAsiaTheme="minorEastAsia"/>
          <w:b/>
          <w:sz w:val="24"/>
          <w:szCs w:val="24"/>
          <w:lang w:val="en-US" w:eastAsia="zh-CN"/>
        </w:rPr>
        <w:t>外部项目审计流程图</w:t>
      </w:r>
    </w:p>
    <w:p>
      <w:pPr>
        <w:pStyle w:val="17"/>
        <w:numPr>
          <w:ilvl w:val="0"/>
          <w:numId w:val="0"/>
        </w:numPr>
        <w:rPr>
          <w:rFonts w:hint="eastAsia" w:asciiTheme="minorEastAsia" w:hAnsiTheme="minorEastAsia" w:eastAsiaTheme="minorEastAsia"/>
          <w:b/>
          <w:sz w:val="24"/>
          <w:szCs w:val="24"/>
          <w:lang w:val="en-US" w:eastAsia="zh-CN"/>
        </w:rPr>
      </w:pPr>
      <w:r>
        <w:rPr>
          <w:rFonts w:ascii="宋体" w:hAnsi="宋体" w:eastAsia="宋体" w:cs="宋体"/>
          <w:sz w:val="24"/>
          <w:szCs w:val="24"/>
        </w:rPr>
        <w:drawing>
          <wp:inline distT="0" distB="0" distL="114300" distR="114300">
            <wp:extent cx="5613400" cy="6294120"/>
            <wp:effectExtent l="0" t="0" r="0" b="0"/>
            <wp:docPr id="1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descr="IMG_256"/>
                    <pic:cNvPicPr>
                      <a:picLocks noChangeAspect="1"/>
                    </pic:cNvPicPr>
                  </pic:nvPicPr>
                  <pic:blipFill>
                    <a:blip r:embed="rId11"/>
                    <a:stretch>
                      <a:fillRect/>
                    </a:stretch>
                  </pic:blipFill>
                  <pic:spPr>
                    <a:xfrm>
                      <a:off x="0" y="0"/>
                      <a:ext cx="5613400" cy="6294120"/>
                    </a:xfrm>
                    <a:prstGeom prst="rect">
                      <a:avLst/>
                    </a:prstGeom>
                    <a:noFill/>
                    <a:ln w="9525">
                      <a:noFill/>
                    </a:ln>
                  </pic:spPr>
                </pic:pic>
              </a:graphicData>
            </a:graphic>
          </wp:inline>
        </w:drawing>
      </w:r>
    </w:p>
    <w:p>
      <w:pPr>
        <w:pStyle w:val="17"/>
        <w:numPr>
          <w:ilvl w:val="0"/>
          <w:numId w:val="0"/>
        </w:numPr>
        <w:rPr>
          <w:rFonts w:hint="eastAsia" w:asciiTheme="minorEastAsia" w:hAnsiTheme="minorEastAsia" w:eastAsiaTheme="minorEastAsia"/>
          <w:b/>
          <w:sz w:val="24"/>
          <w:szCs w:val="24"/>
          <w:lang w:val="en-US" w:eastAsia="zh-CN"/>
        </w:rPr>
      </w:pPr>
      <w:r>
        <w:rPr>
          <w:rFonts w:hint="eastAsia" w:asciiTheme="minorEastAsia" w:hAnsiTheme="minorEastAsia" w:eastAsiaTheme="minorEastAsia"/>
          <w:b/>
          <w:sz w:val="24"/>
          <w:szCs w:val="24"/>
          <w:lang w:val="en-US" w:eastAsia="zh-CN"/>
        </w:rPr>
        <w:t>流程说明：</w:t>
      </w:r>
    </w:p>
    <w:tbl>
      <w:tblPr>
        <w:tblStyle w:val="33"/>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72" w:type="dxa"/>
          <w:bottom w:w="0" w:type="dxa"/>
          <w:right w:w="72" w:type="dxa"/>
        </w:tblCellMar>
      </w:tblPr>
      <w:tblGrid>
        <w:gridCol w:w="1127"/>
        <w:gridCol w:w="1292"/>
        <w:gridCol w:w="1801"/>
        <w:gridCol w:w="1695"/>
        <w:gridCol w:w="723"/>
        <w:gridCol w:w="1074"/>
        <w:gridCol w:w="12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12" w:space="0"/>
              <w:left w:val="single" w:color="auto" w:sz="12" w:space="0"/>
              <w:bottom w:val="single" w:color="auto" w:sz="8" w:space="0"/>
              <w:right w:val="single" w:color="auto" w:sz="12" w:space="0"/>
            </w:tcBorders>
            <w:shd w:val="clear" w:color="auto" w:fill="EAEAEA"/>
            <w:vAlign w:val="center"/>
          </w:tcPr>
          <w:p>
            <w:pPr>
              <w:pStyle w:val="94"/>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流程编号：</w:t>
            </w:r>
            <w:r>
              <w:rPr>
                <w:rFonts w:hint="eastAsia" w:ascii="宋体" w:hAnsi="宋体" w:eastAsia="宋体" w:cs="宋体"/>
                <w:color w:val="000000"/>
                <w:sz w:val="21"/>
                <w:szCs w:val="21"/>
                <w:lang w:val="en-US" w:eastAsia="zh-CN"/>
              </w:rPr>
              <w:t>FP_EA_001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8" w:space="0"/>
              <w:right w:val="single" w:color="auto" w:sz="12" w:space="0"/>
            </w:tcBorders>
            <w:shd w:val="clear" w:color="auto" w:fill="EAEAEA"/>
            <w:vAlign w:val="center"/>
          </w:tcPr>
          <w:p>
            <w:pPr>
              <w:pStyle w:val="94"/>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流程名称：</w:t>
            </w:r>
            <w:r>
              <w:rPr>
                <w:rFonts w:hint="eastAsia" w:ascii="宋体" w:hAnsi="宋体" w:eastAsia="宋体" w:cs="宋体"/>
                <w:color w:val="000000"/>
                <w:sz w:val="21"/>
                <w:szCs w:val="21"/>
                <w:lang w:val="en-US" w:eastAsia="zh-CN"/>
              </w:rPr>
              <w:t>外部项目审计流程图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12" w:space="0"/>
              <w:right w:val="single" w:color="auto" w:sz="12" w:space="0"/>
            </w:tcBorders>
            <w:shd w:val="clear" w:color="auto" w:fill="EAEAEA"/>
            <w:vAlign w:val="center"/>
          </w:tcPr>
          <w:p>
            <w:pPr>
              <w:pStyle w:val="94"/>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流程版本：</w:t>
            </w:r>
            <w:r>
              <w:rPr>
                <w:rFonts w:hint="eastAsia" w:ascii="宋体" w:hAnsi="宋体" w:eastAsia="宋体" w:cs="宋体"/>
                <w:color w:val="000000"/>
                <w:sz w:val="21"/>
                <w:szCs w:val="21"/>
                <w:lang w:val="en-US" w:eastAsia="zh-CN"/>
              </w:rPr>
              <w:t>V1.0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631" w:type="pct"/>
            <w:tcBorders>
              <w:top w:val="single" w:color="auto" w:sz="12" w:space="0"/>
              <w:left w:val="single" w:color="auto" w:sz="12" w:space="0"/>
              <w:bottom w:val="single" w:color="auto" w:sz="6" w:space="0"/>
              <w:right w:val="single" w:color="auto" w:sz="6" w:space="0"/>
            </w:tcBorders>
            <w:shd w:val="clear" w:color="auto" w:fill="EAEAEA"/>
            <w:vAlign w:val="center"/>
          </w:tcPr>
          <w:p>
            <w:pPr>
              <w:pStyle w:val="94"/>
              <w:jc w:val="center"/>
              <w:rPr>
                <w:rFonts w:hint="eastAsia" w:ascii="宋体" w:hAnsi="宋体" w:eastAsia="宋体" w:cs="宋体"/>
                <w:color w:val="000000"/>
                <w:sz w:val="21"/>
                <w:szCs w:val="21"/>
              </w:rPr>
            </w:pPr>
            <w:r>
              <w:rPr>
                <w:rFonts w:hint="eastAsia" w:ascii="宋体" w:hAnsi="宋体" w:eastAsia="宋体" w:cs="宋体"/>
                <w:color w:val="000000"/>
                <w:sz w:val="21"/>
                <w:szCs w:val="21"/>
              </w:rPr>
              <w:t>步骤编号</w:t>
            </w:r>
          </w:p>
        </w:tc>
        <w:tc>
          <w:tcPr>
            <w:tcW w:w="723"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hint="eastAsia" w:ascii="宋体" w:hAnsi="宋体" w:eastAsia="宋体" w:cs="宋体"/>
                <w:color w:val="000000"/>
                <w:sz w:val="21"/>
                <w:szCs w:val="21"/>
              </w:rPr>
            </w:pPr>
            <w:r>
              <w:rPr>
                <w:rFonts w:hint="eastAsia" w:ascii="宋体" w:hAnsi="宋体" w:eastAsia="宋体" w:cs="宋体"/>
                <w:color w:val="000000"/>
                <w:sz w:val="21"/>
                <w:szCs w:val="21"/>
              </w:rPr>
              <w:t>步骤名称</w:t>
            </w:r>
          </w:p>
        </w:tc>
        <w:tc>
          <w:tcPr>
            <w:tcW w:w="1008"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业务过程描述</w:t>
            </w:r>
          </w:p>
        </w:tc>
        <w:tc>
          <w:tcPr>
            <w:tcW w:w="949"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jc w:val="center"/>
              <w:rPr>
                <w:rFonts w:hint="eastAsia" w:ascii="宋体" w:hAnsi="宋体" w:eastAsia="宋体" w:cs="宋体"/>
                <w:color w:val="000000"/>
                <w:sz w:val="21"/>
                <w:szCs w:val="21"/>
              </w:rPr>
            </w:pPr>
            <w:r>
              <w:rPr>
                <w:rFonts w:hint="eastAsia" w:ascii="宋体" w:hAnsi="宋体" w:eastAsia="宋体" w:cs="宋体"/>
                <w:color w:val="000000"/>
                <w:sz w:val="21"/>
                <w:szCs w:val="21"/>
              </w:rPr>
              <w:t>责任部门/岗位</w:t>
            </w:r>
          </w:p>
        </w:tc>
        <w:tc>
          <w:tcPr>
            <w:tcW w:w="405"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hint="eastAsia" w:ascii="宋体" w:hAnsi="宋体" w:eastAsia="宋体" w:cs="宋体"/>
                <w:color w:val="000000"/>
                <w:sz w:val="21"/>
                <w:szCs w:val="21"/>
              </w:rPr>
            </w:pPr>
            <w:r>
              <w:rPr>
                <w:rFonts w:hint="eastAsia" w:ascii="宋体" w:hAnsi="宋体" w:eastAsia="宋体" w:cs="宋体"/>
                <w:color w:val="000000"/>
                <w:sz w:val="21"/>
                <w:szCs w:val="21"/>
              </w:rPr>
              <w:t>处理方式</w:t>
            </w:r>
          </w:p>
        </w:tc>
        <w:tc>
          <w:tcPr>
            <w:tcW w:w="601"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hint="eastAsia" w:ascii="宋体" w:hAnsi="宋体" w:eastAsia="宋体" w:cs="宋体"/>
                <w:color w:val="000000"/>
                <w:sz w:val="21"/>
                <w:szCs w:val="21"/>
              </w:rPr>
            </w:pPr>
            <w:r>
              <w:rPr>
                <w:rFonts w:hint="eastAsia" w:ascii="宋体" w:hAnsi="宋体" w:eastAsia="宋体" w:cs="宋体"/>
                <w:color w:val="000000"/>
                <w:sz w:val="21"/>
                <w:szCs w:val="21"/>
              </w:rPr>
              <w:t>输入文档</w:t>
            </w:r>
          </w:p>
        </w:tc>
        <w:tc>
          <w:tcPr>
            <w:tcW w:w="678" w:type="pct"/>
            <w:tcBorders>
              <w:top w:val="single" w:color="auto" w:sz="12" w:space="0"/>
              <w:left w:val="single" w:color="auto" w:sz="8" w:space="0"/>
              <w:bottom w:val="single" w:color="auto" w:sz="6" w:space="0"/>
              <w:right w:val="single" w:color="auto" w:sz="12" w:space="0"/>
            </w:tcBorders>
            <w:shd w:val="clear" w:color="auto" w:fill="EAEAEA"/>
            <w:vAlign w:val="center"/>
          </w:tcPr>
          <w:p>
            <w:pPr>
              <w:pStyle w:val="94"/>
              <w:jc w:val="center"/>
              <w:rPr>
                <w:rFonts w:hint="eastAsia" w:ascii="宋体" w:hAnsi="宋体" w:eastAsia="宋体" w:cs="宋体"/>
                <w:color w:val="000000"/>
                <w:sz w:val="21"/>
                <w:szCs w:val="21"/>
              </w:rPr>
            </w:pPr>
            <w:r>
              <w:rPr>
                <w:rFonts w:hint="eastAsia" w:ascii="宋体" w:hAnsi="宋体" w:eastAsia="宋体" w:cs="宋体"/>
                <w:color w:val="000000"/>
                <w:sz w:val="21"/>
                <w:szCs w:val="21"/>
              </w:rPr>
              <w:t>输出文档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60" w:hRule="exact"/>
        </w:trPr>
        <w:tc>
          <w:tcPr>
            <w:tcW w:w="631" w:type="pct"/>
            <w:tcBorders>
              <w:top w:val="single" w:color="auto" w:sz="6" w:space="0"/>
              <w:left w:val="nil"/>
              <w:bottom w:val="single" w:color="auto" w:sz="6" w:space="0"/>
              <w:right w:val="single" w:color="auto" w:sz="6" w:space="0"/>
            </w:tcBorders>
            <w:shd w:val="pct50" w:color="auto" w:fill="auto"/>
            <w:vAlign w:val="center"/>
          </w:tcPr>
          <w:p>
            <w:pPr>
              <w:pStyle w:val="93"/>
              <w:jc w:val="both"/>
              <w:rPr>
                <w:rFonts w:hint="eastAsia" w:ascii="宋体" w:hAnsi="宋体" w:eastAsia="宋体" w:cs="宋体"/>
                <w:color w:val="000000"/>
                <w:sz w:val="21"/>
                <w:szCs w:val="21"/>
              </w:rPr>
            </w:pPr>
          </w:p>
        </w:tc>
        <w:tc>
          <w:tcPr>
            <w:tcW w:w="723"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hint="eastAsia" w:ascii="宋体" w:hAnsi="宋体" w:eastAsia="宋体" w:cs="宋体"/>
                <w:color w:val="000000"/>
                <w:sz w:val="21"/>
                <w:szCs w:val="21"/>
              </w:rPr>
            </w:pPr>
          </w:p>
        </w:tc>
        <w:tc>
          <w:tcPr>
            <w:tcW w:w="1008"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jc w:val="both"/>
              <w:rPr>
                <w:rFonts w:hint="eastAsia" w:ascii="宋体" w:hAnsi="宋体" w:eastAsia="宋体" w:cs="宋体"/>
                <w:color w:val="000000"/>
                <w:sz w:val="21"/>
                <w:szCs w:val="21"/>
              </w:rPr>
            </w:pPr>
          </w:p>
        </w:tc>
        <w:tc>
          <w:tcPr>
            <w:tcW w:w="949"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jc w:val="both"/>
              <w:rPr>
                <w:rFonts w:hint="eastAsia" w:ascii="宋体" w:hAnsi="宋体" w:eastAsia="宋体" w:cs="宋体"/>
                <w:color w:val="000000"/>
                <w:sz w:val="21"/>
                <w:szCs w:val="21"/>
              </w:rPr>
            </w:pPr>
          </w:p>
        </w:tc>
        <w:tc>
          <w:tcPr>
            <w:tcW w:w="405"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hint="eastAsia" w:ascii="宋体" w:hAnsi="宋体" w:eastAsia="宋体" w:cs="宋体"/>
                <w:color w:val="000000"/>
                <w:sz w:val="21"/>
                <w:szCs w:val="21"/>
              </w:rPr>
            </w:pPr>
          </w:p>
        </w:tc>
        <w:tc>
          <w:tcPr>
            <w:tcW w:w="601"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hint="eastAsia" w:ascii="宋体" w:hAnsi="宋体" w:eastAsia="宋体" w:cs="宋体"/>
                <w:color w:val="000000"/>
                <w:sz w:val="21"/>
                <w:szCs w:val="21"/>
              </w:rPr>
            </w:pPr>
          </w:p>
        </w:tc>
        <w:tc>
          <w:tcPr>
            <w:tcW w:w="678" w:type="pct"/>
            <w:tcBorders>
              <w:top w:val="single" w:color="auto" w:sz="6" w:space="0"/>
              <w:left w:val="single" w:color="auto" w:sz="8" w:space="0"/>
              <w:bottom w:val="single" w:color="auto" w:sz="6" w:space="0"/>
              <w:right w:val="nil"/>
            </w:tcBorders>
            <w:shd w:val="pct50" w:color="auto" w:fill="auto"/>
            <w:vAlign w:val="center"/>
          </w:tcPr>
          <w:p>
            <w:pPr>
              <w:pStyle w:val="93"/>
              <w:jc w:val="both"/>
              <w:rPr>
                <w:rFonts w:hint="eastAsia"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A1_01</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下发审计通知书或审计资料清单</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ascii="宋体" w:hAnsi="宋体" w:eastAsia="宋体" w:cs="宋体"/>
                <w:color w:val="000000"/>
                <w:sz w:val="21"/>
                <w:szCs w:val="21"/>
                <w:lang w:val="en-US" w:eastAsia="zh-CN"/>
              </w:rPr>
              <w:t>收取</w:t>
            </w:r>
            <w:r>
              <w:rPr>
                <w:rFonts w:hint="eastAsia" w:ascii="宋体" w:hAnsi="宋体" w:eastAsia="宋体" w:cs="宋体"/>
                <w:color w:val="000000"/>
                <w:sz w:val="21"/>
                <w:szCs w:val="21"/>
                <w:lang w:val="en-US" w:eastAsia="zh-CN"/>
              </w:rPr>
              <w:t>审计机关</w:t>
            </w:r>
            <w:r>
              <w:rPr>
                <w:rFonts w:ascii="宋体" w:hAnsi="宋体" w:eastAsia="宋体" w:cs="宋体"/>
                <w:color w:val="000000"/>
                <w:sz w:val="21"/>
                <w:szCs w:val="21"/>
                <w:lang w:val="en-US" w:eastAsia="zh-CN"/>
              </w:rPr>
              <w:t>或</w:t>
            </w:r>
            <w:r>
              <w:rPr>
                <w:rFonts w:hint="eastAsia" w:ascii="宋体" w:hAnsi="宋体" w:eastAsia="宋体" w:cs="宋体"/>
                <w:color w:val="000000"/>
                <w:sz w:val="21"/>
                <w:szCs w:val="21"/>
                <w:lang w:val="en-US" w:eastAsia="zh-CN"/>
              </w:rPr>
              <w:t>上级单位下发</w:t>
            </w:r>
            <w:r>
              <w:rPr>
                <w:rFonts w:ascii="宋体" w:hAnsi="宋体" w:eastAsia="宋体" w:cs="宋体"/>
                <w:color w:val="000000"/>
                <w:sz w:val="21"/>
                <w:szCs w:val="21"/>
                <w:lang w:val="en-US" w:eastAsia="zh-CN"/>
              </w:rPr>
              <w:t>的</w:t>
            </w:r>
            <w:r>
              <w:rPr>
                <w:rFonts w:hint="eastAsia" w:ascii="宋体" w:hAnsi="宋体" w:eastAsia="宋体" w:cs="宋体"/>
                <w:color w:val="000000"/>
                <w:sz w:val="21"/>
                <w:szCs w:val="21"/>
                <w:lang w:val="en-US" w:eastAsia="zh-CN"/>
              </w:rPr>
              <w:t>审计通知书或审计资料清单</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审计法务部/审计人员</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线下处理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审计通知书或审计资料清单</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审计通知书或审计资料清单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A1_02</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按要求部署审计任务</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审计法务部组织会议</w:t>
            </w:r>
            <w:r>
              <w:rPr>
                <w:rFonts w:hint="eastAsia" w:ascii="宋体" w:hAnsi="宋体" w:cs="宋体"/>
                <w:color w:val="000000"/>
                <w:sz w:val="21"/>
                <w:szCs w:val="21"/>
                <w:lang w:val="en-US" w:eastAsia="zh-CN"/>
              </w:rPr>
              <w:t>安排</w:t>
            </w:r>
            <w:r>
              <w:rPr>
                <w:rFonts w:hint="eastAsia" w:ascii="宋体" w:hAnsi="宋体" w:eastAsia="宋体" w:cs="宋体"/>
                <w:color w:val="000000"/>
                <w:sz w:val="21"/>
                <w:szCs w:val="21"/>
                <w:lang w:val="en-US" w:eastAsia="zh-CN"/>
              </w:rPr>
              <w:t>审计任务</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w:t>
            </w:r>
            <w:r>
              <w:rPr>
                <w:rFonts w:hint="eastAsia" w:ascii="宋体" w:hAnsi="宋体" w:cs="宋体"/>
                <w:color w:val="000000"/>
                <w:sz w:val="21"/>
                <w:szCs w:val="21"/>
                <w:lang w:val="en-US" w:eastAsia="zh-CN"/>
              </w:rPr>
              <w:t>上</w:t>
            </w:r>
            <w:r>
              <w:rPr>
                <w:rFonts w:hint="eastAsia" w:ascii="宋体" w:hAnsi="宋体" w:eastAsia="宋体" w:cs="宋体"/>
                <w:color w:val="000000"/>
                <w:sz w:val="21"/>
                <w:szCs w:val="21"/>
                <w:lang w:val="en-US" w:eastAsia="zh-CN"/>
              </w:rPr>
              <w:t>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审计通知书或审计资料清单</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ascii="宋体" w:hAnsi="宋体" w:cs="宋体"/>
                <w:color w:val="000000"/>
                <w:sz w:val="21"/>
                <w:szCs w:val="21"/>
              </w:rPr>
              <w:t>下发</w:t>
            </w:r>
            <w:r>
              <w:rPr>
                <w:rFonts w:hint="eastAsia" w:ascii="宋体" w:hAnsi="宋体" w:eastAsia="宋体" w:cs="宋体"/>
                <w:color w:val="000000"/>
                <w:sz w:val="21"/>
                <w:szCs w:val="21"/>
                <w:lang w:val="en-US" w:eastAsia="zh-CN"/>
              </w:rPr>
              <w:t>做好迎审资料准备工作的通知</w:t>
            </w:r>
            <w:r>
              <w:rPr>
                <w:rFonts w:ascii="宋体" w:hAnsi="宋体" w:cs="宋体"/>
                <w:color w:val="000000"/>
                <w:sz w:val="21"/>
                <w:szCs w:val="21"/>
              </w:rPr>
              <w:t>（非必须）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A1_03</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发布审计资料清单</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w:t>
            </w:r>
            <w:r>
              <w:rPr>
                <w:rFonts w:ascii="宋体" w:hAnsi="宋体" w:eastAsia="宋体" w:cs="宋体"/>
                <w:color w:val="000000"/>
                <w:sz w:val="21"/>
                <w:szCs w:val="21"/>
                <w:lang w:val="en-US" w:eastAsia="zh-CN"/>
              </w:rPr>
              <w:t>收取审计组下发的</w:t>
            </w:r>
            <w:r>
              <w:rPr>
                <w:rFonts w:hint="eastAsia" w:ascii="宋体" w:hAnsi="宋体" w:eastAsia="宋体" w:cs="宋体"/>
                <w:color w:val="000000"/>
                <w:sz w:val="21"/>
                <w:szCs w:val="21"/>
                <w:lang w:val="en-US" w:eastAsia="zh-CN"/>
              </w:rPr>
              <w:t>审计资料清单</w:t>
            </w:r>
            <w:r>
              <w:rPr>
                <w:rFonts w:ascii="宋体" w:hAnsi="宋体" w:eastAsia="宋体" w:cs="宋体"/>
                <w:color w:val="000000"/>
                <w:sz w:val="21"/>
                <w:szCs w:val="21"/>
                <w:lang w:val="en-US" w:eastAsia="zh-CN"/>
              </w:rPr>
              <w:t>后，进行分解</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审计资料清单</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ascii="宋体" w:hAnsi="宋体" w:eastAsia="宋体" w:cs="宋体"/>
                <w:color w:val="000000"/>
                <w:sz w:val="21"/>
                <w:szCs w:val="21"/>
                <w:lang w:val="en-US" w:eastAsia="zh-CN"/>
              </w:rPr>
              <w:t>分解后的</w:t>
            </w:r>
            <w:r>
              <w:rPr>
                <w:rFonts w:hint="eastAsia" w:ascii="宋体" w:hAnsi="宋体" w:eastAsia="宋体" w:cs="宋体"/>
                <w:color w:val="000000"/>
                <w:sz w:val="21"/>
                <w:szCs w:val="21"/>
                <w:lang w:val="en-US" w:eastAsia="zh-CN"/>
              </w:rPr>
              <w:t>审计资料清单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A1_04</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收集/提交审计资料</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由相关部门或下属单位收集资料清单并</w:t>
            </w:r>
            <w:r>
              <w:rPr>
                <w:rFonts w:ascii="宋体" w:hAnsi="宋体" w:eastAsia="宋体" w:cs="宋体"/>
                <w:color w:val="000000"/>
                <w:sz w:val="21"/>
                <w:szCs w:val="21"/>
                <w:lang w:val="en-US" w:eastAsia="zh-CN"/>
              </w:rPr>
              <w:t>请分管领导或单位主要负责人审批后，</w:t>
            </w:r>
            <w:r>
              <w:rPr>
                <w:rFonts w:hint="eastAsia" w:ascii="宋体" w:hAnsi="宋体" w:eastAsia="宋体" w:cs="宋体"/>
                <w:color w:val="000000"/>
                <w:sz w:val="21"/>
                <w:szCs w:val="21"/>
                <w:lang w:val="en-US" w:eastAsia="zh-CN"/>
              </w:rPr>
              <w:t>提交至审计法务部</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相关部门/下属单位</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审计资料清单</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A1_05</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汇总、核对移交审计资料</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审计法务部对提交的资料进行汇总、审核，移交给审计组</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审计资料</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A1_06</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收悉</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审计组收到审计资料</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审计机关/上级单位</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线下处理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审计资料</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A1_07</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cs="宋体"/>
                <w:color w:val="000000"/>
                <w:sz w:val="21"/>
                <w:szCs w:val="21"/>
                <w:lang w:val="en-US" w:eastAsia="zh-CN"/>
              </w:rPr>
              <w:t>制</w:t>
            </w:r>
            <w:r>
              <w:rPr>
                <w:rFonts w:hint="eastAsia" w:ascii="宋体" w:hAnsi="宋体" w:eastAsia="宋体" w:cs="宋体"/>
                <w:color w:val="000000"/>
                <w:sz w:val="21"/>
                <w:szCs w:val="21"/>
                <w:lang w:val="en-US" w:eastAsia="zh-CN"/>
              </w:rPr>
              <w:t>发审计取证记录</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ascii="宋体" w:hAnsi="宋体" w:eastAsia="宋体" w:cs="宋体"/>
                <w:color w:val="000000"/>
                <w:sz w:val="21"/>
                <w:szCs w:val="21"/>
                <w:lang w:val="en-US" w:eastAsia="zh-CN"/>
              </w:rPr>
              <w:t>收取</w:t>
            </w:r>
            <w:r>
              <w:rPr>
                <w:rFonts w:hint="eastAsia" w:ascii="宋体" w:hAnsi="宋体" w:eastAsia="宋体" w:cs="宋体"/>
                <w:color w:val="000000"/>
                <w:sz w:val="21"/>
                <w:szCs w:val="21"/>
                <w:lang w:val="en-US" w:eastAsia="zh-CN"/>
              </w:rPr>
              <w:t>审计组</w:t>
            </w:r>
            <w:r>
              <w:rPr>
                <w:rFonts w:ascii="宋体" w:hAnsi="宋体" w:eastAsia="宋体" w:cs="宋体"/>
                <w:color w:val="000000"/>
                <w:sz w:val="21"/>
                <w:szCs w:val="21"/>
                <w:lang w:val="en-US" w:eastAsia="zh-CN"/>
              </w:rPr>
              <w:t>制发的</w:t>
            </w:r>
            <w:r>
              <w:rPr>
                <w:rFonts w:hint="eastAsia" w:ascii="宋体" w:hAnsi="宋体" w:eastAsia="宋体" w:cs="宋体"/>
                <w:color w:val="000000"/>
                <w:sz w:val="21"/>
                <w:szCs w:val="21"/>
                <w:lang w:val="en-US" w:eastAsia="zh-CN"/>
              </w:rPr>
              <w:t>审计取证记录</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宋体" w:hAnsi="宋体" w:eastAsia="宋体" w:cs="宋体"/>
                <w:color w:val="000000"/>
                <w:sz w:val="21"/>
                <w:szCs w:val="21"/>
                <w:lang w:val="en-US" w:eastAsia="zh-CN"/>
              </w:rPr>
            </w:pPr>
            <w:r>
              <w:rPr>
                <w:rFonts w:hint="eastAsia" w:ascii="宋体" w:hAnsi="宋体" w:cs="宋体"/>
                <w:color w:val="000000"/>
                <w:sz w:val="21"/>
                <w:szCs w:val="21"/>
                <w:lang w:val="en-US" w:eastAsia="zh-CN"/>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线下处理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无</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审计取证记录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A1_08</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按职能职责分解审计取证记录</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审计法务部按照职能职责分解审计取证记录分发给相关部门或下属单位</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审计取证记录</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分解</w:t>
            </w:r>
            <w:r>
              <w:rPr>
                <w:rFonts w:ascii="宋体" w:hAnsi="宋体" w:eastAsia="宋体" w:cs="宋体"/>
                <w:color w:val="000000"/>
                <w:sz w:val="21"/>
                <w:szCs w:val="21"/>
                <w:lang w:val="en-US" w:eastAsia="zh-CN"/>
              </w:rPr>
              <w:t>后的</w:t>
            </w:r>
            <w:r>
              <w:rPr>
                <w:rFonts w:hint="eastAsia" w:ascii="宋体" w:hAnsi="宋体" w:eastAsia="宋体" w:cs="宋体"/>
                <w:color w:val="000000"/>
                <w:sz w:val="21"/>
                <w:szCs w:val="21"/>
                <w:lang w:val="en-US" w:eastAsia="zh-CN"/>
              </w:rPr>
              <w:t>审计取证记录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A1_09</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回复调查取证记录意见</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下属单位或相关部门对审计取证记录进行意见回复，并提请分管领导审批</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相关部门/下属单位</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审计取证记录分解表、审计取证记录</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取证记录审批表、取证记录回复意见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A1_10</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汇总/审核审计取证记录回复意见</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审计法务部汇总、审核审计取证记录回复意见，并提交</w:t>
            </w:r>
            <w:r>
              <w:rPr>
                <w:rFonts w:hint="eastAsia" w:ascii="宋体" w:hAnsi="宋体" w:cs="宋体"/>
                <w:color w:val="000000"/>
                <w:sz w:val="21"/>
                <w:szCs w:val="21"/>
                <w:lang w:val="en-US" w:eastAsia="zh-CN"/>
              </w:rPr>
              <w:t>审计</w:t>
            </w:r>
            <w:r>
              <w:rPr>
                <w:rFonts w:hint="eastAsia" w:ascii="宋体" w:hAnsi="宋体" w:eastAsia="宋体" w:cs="宋体"/>
                <w:color w:val="000000"/>
                <w:sz w:val="21"/>
                <w:szCs w:val="21"/>
                <w:lang w:val="en-US" w:eastAsia="zh-CN"/>
              </w:rPr>
              <w:t>分管领导、总经理、董事长审批</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调查取证记录回复意见及审批表</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审计取证记录回复传签稿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A1_11</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移交审计取证记录</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审计法务部将</w:t>
            </w:r>
            <w:r>
              <w:rPr>
                <w:rFonts w:ascii="宋体" w:hAnsi="宋体" w:eastAsia="宋体" w:cs="宋体"/>
                <w:color w:val="000000"/>
                <w:sz w:val="21"/>
                <w:szCs w:val="21"/>
                <w:lang w:val="en-US" w:eastAsia="zh-CN"/>
              </w:rPr>
              <w:t>盖章</w:t>
            </w:r>
            <w:r>
              <w:rPr>
                <w:rFonts w:hint="eastAsia" w:ascii="宋体" w:hAnsi="宋体" w:eastAsia="宋体" w:cs="宋体"/>
                <w:color w:val="000000"/>
                <w:sz w:val="21"/>
                <w:szCs w:val="21"/>
                <w:lang w:val="en-US" w:eastAsia="zh-CN"/>
              </w:rPr>
              <w:t>后的审计取证记录移交给审计组</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线下处理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审计取证记录</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审计取证记录签收回执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A1_12</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收悉</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审计组收到审计取证记录</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审计机关/上级单位</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线下处理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审计取证记录</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审计取证记录签收表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A1_13</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制发审计报告征求意见稿</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cs="宋体"/>
                <w:color w:val="000000"/>
                <w:sz w:val="21"/>
                <w:szCs w:val="21"/>
                <w:lang w:val="en-US" w:eastAsia="zh-CN"/>
              </w:rPr>
              <w:t>收取</w:t>
            </w:r>
            <w:r>
              <w:rPr>
                <w:rFonts w:hint="eastAsia" w:ascii="宋体" w:hAnsi="宋体" w:eastAsia="宋体" w:cs="宋体"/>
                <w:color w:val="000000"/>
                <w:sz w:val="21"/>
                <w:szCs w:val="21"/>
                <w:lang w:val="en-US" w:eastAsia="zh-CN"/>
              </w:rPr>
              <w:t>审计组编制审计报告征求意见稿并下发</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w:t>
            </w:r>
            <w:r>
              <w:rPr>
                <w:rFonts w:hint="eastAsia" w:ascii="宋体" w:hAnsi="宋体" w:cs="宋体"/>
                <w:color w:val="000000"/>
                <w:sz w:val="21"/>
                <w:szCs w:val="21"/>
                <w:lang w:val="en-US" w:eastAsia="zh-CN"/>
              </w:rPr>
              <w:t>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线下处理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审计报告征求意见稿</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审计报告征求意见稿签收回执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A1_14</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按职能职责分解审计报告征求意见稿</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审计法务部按照职能职责分解审计报告征求意见稿，分发给相关部门或下属单位</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审计报告征求意见稿</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分解后的审计报告征求意见稿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A1_15</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回复审计报告征求意见稿意见</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相关部门或下属单位对审计报告征求意见稿进行回复，并提请分管领导审批</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相关部门/下属单位</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cs="宋体"/>
                <w:color w:val="000000"/>
                <w:sz w:val="21"/>
                <w:szCs w:val="21"/>
                <w:lang w:val="en-US" w:eastAsia="zh-CN"/>
              </w:rPr>
              <w:t>分解后的</w:t>
            </w:r>
            <w:r>
              <w:rPr>
                <w:rFonts w:hint="eastAsia" w:ascii="宋体" w:hAnsi="宋体" w:eastAsia="宋体" w:cs="宋体"/>
                <w:color w:val="000000"/>
                <w:sz w:val="21"/>
                <w:szCs w:val="21"/>
                <w:lang w:val="en-US" w:eastAsia="zh-CN"/>
              </w:rPr>
              <w:t>审计报告征求意见稿</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审计报告征求意见稿</w:t>
            </w:r>
            <w:r>
              <w:rPr>
                <w:rFonts w:hint="eastAsia" w:ascii="宋体" w:hAnsi="宋体" w:cs="宋体"/>
                <w:color w:val="000000"/>
                <w:sz w:val="21"/>
                <w:szCs w:val="21"/>
                <w:lang w:val="en-US" w:eastAsia="zh-CN"/>
              </w:rPr>
              <w:t>回复</w:t>
            </w:r>
            <w:r>
              <w:rPr>
                <w:rFonts w:hint="eastAsia" w:ascii="宋体" w:hAnsi="宋体" w:eastAsia="宋体" w:cs="宋体"/>
                <w:color w:val="000000"/>
                <w:sz w:val="21"/>
                <w:szCs w:val="21"/>
                <w:lang w:val="en-US" w:eastAsia="zh-CN"/>
              </w:rPr>
              <w:t>意见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A1_16</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汇总审核审计报告征求意见稿回复意见</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审计法务部汇总审计征求意见稿回复意见，并提交</w:t>
            </w:r>
            <w:r>
              <w:rPr>
                <w:rFonts w:hint="eastAsia" w:ascii="宋体" w:hAnsi="宋体" w:cs="宋体"/>
                <w:color w:val="000000"/>
                <w:sz w:val="21"/>
                <w:szCs w:val="21"/>
                <w:lang w:val="en-US" w:eastAsia="zh-CN"/>
              </w:rPr>
              <w:t>审计</w:t>
            </w:r>
            <w:r>
              <w:rPr>
                <w:rFonts w:hint="eastAsia" w:ascii="宋体" w:hAnsi="宋体" w:eastAsia="宋体" w:cs="宋体"/>
                <w:color w:val="000000"/>
                <w:sz w:val="21"/>
                <w:szCs w:val="21"/>
                <w:lang w:val="en-US" w:eastAsia="zh-CN"/>
              </w:rPr>
              <w:t>分管领导、总经理、董事长审批</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审计报告征求意见稿</w:t>
            </w:r>
            <w:r>
              <w:rPr>
                <w:rFonts w:hint="eastAsia" w:ascii="宋体" w:hAnsi="宋体" w:cs="宋体"/>
                <w:color w:val="000000"/>
                <w:sz w:val="21"/>
                <w:szCs w:val="21"/>
                <w:lang w:val="en-US" w:eastAsia="zh-CN"/>
              </w:rPr>
              <w:t>回复</w:t>
            </w:r>
            <w:r>
              <w:rPr>
                <w:rFonts w:hint="eastAsia" w:ascii="宋体" w:hAnsi="宋体" w:eastAsia="宋体" w:cs="宋体"/>
                <w:color w:val="000000"/>
                <w:sz w:val="21"/>
                <w:szCs w:val="21"/>
                <w:lang w:val="en-US" w:eastAsia="zh-CN"/>
              </w:rPr>
              <w:t>意见</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关于报送审计报告征求意见稿回复意见的内部签报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A1_17</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报送征求意见稿回复意见</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审计法务部报送审计征求意见稿回复意见给审计组</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线下处理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审计报告征求意见稿回复意见</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A1_18</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收悉</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审计组收到征求意见稿回复意见</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审计机关/上级单位</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线下处理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审计报告征求意见稿回复意见</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A1_19</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cs="宋体"/>
                <w:color w:val="000000"/>
                <w:sz w:val="21"/>
                <w:szCs w:val="21"/>
                <w:lang w:val="en-US" w:eastAsia="zh-CN"/>
              </w:rPr>
              <w:t>制</w:t>
            </w:r>
            <w:r>
              <w:rPr>
                <w:rFonts w:hint="eastAsia" w:ascii="宋体" w:hAnsi="宋体" w:eastAsia="宋体" w:cs="宋体"/>
                <w:color w:val="000000"/>
                <w:sz w:val="21"/>
                <w:szCs w:val="21"/>
                <w:lang w:val="en-US" w:eastAsia="zh-CN"/>
              </w:rPr>
              <w:t>发正式审计报告</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审计组下发正式审计报告</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审计机关/上级单位</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线下处理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无</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正式审计报告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A1_20</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收悉</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审计法务部收到正式审计报告</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正式审计报告</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A1_21</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整改</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相关部门或下属单位对审计报告中提出的问题开展整改</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相关部门/下属单位</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线</w:t>
            </w:r>
            <w:r>
              <w:rPr>
                <w:rFonts w:hint="eastAsia" w:ascii="宋体" w:hAnsi="宋体" w:cs="宋体"/>
                <w:color w:val="000000"/>
                <w:sz w:val="21"/>
                <w:szCs w:val="21"/>
                <w:lang w:val="en-US" w:eastAsia="zh-CN"/>
              </w:rPr>
              <w:t>上</w:t>
            </w:r>
            <w:r>
              <w:rPr>
                <w:rFonts w:hint="eastAsia" w:ascii="宋体" w:hAnsi="宋体" w:eastAsia="宋体" w:cs="宋体"/>
                <w:color w:val="000000"/>
                <w:sz w:val="21"/>
                <w:szCs w:val="21"/>
                <w:lang w:val="en-US" w:eastAsia="zh-CN"/>
              </w:rPr>
              <w:t>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正式审计报告</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审计整改工作报告</w:t>
            </w:r>
          </w:p>
        </w:tc>
      </w:tr>
    </w:tbl>
    <w:p>
      <w:pPr>
        <w:pStyle w:val="5"/>
        <w:rPr>
          <w:rFonts w:hint="eastAsia"/>
          <w:lang w:val="en-US" w:eastAsia="zh-CN"/>
        </w:rPr>
      </w:pP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用户业务需求</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72" w:type="dxa"/>
          <w:bottom w:w="0" w:type="dxa"/>
          <w:right w:w="72" w:type="dxa"/>
        </w:tblCellMar>
      </w:tblPr>
      <w:tblGrid>
        <w:gridCol w:w="1292"/>
        <w:gridCol w:w="7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rPr>
        <w:tc>
          <w:tcPr>
            <w:tcW w:w="723" w:type="pct"/>
            <w:shd w:val="clear" w:color="auto" w:fill="EAEAEA"/>
          </w:tcPr>
          <w:p>
            <w:pPr>
              <w:pStyle w:val="94"/>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需求编号</w:t>
            </w:r>
          </w:p>
        </w:tc>
        <w:tc>
          <w:tcPr>
            <w:tcW w:w="4276" w:type="pct"/>
            <w:shd w:val="clear" w:color="auto" w:fill="EAEAEA"/>
          </w:tcPr>
          <w:p>
            <w:pPr>
              <w:pStyle w:val="94"/>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需求详细描述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rPr>
          <w:trHeight w:val="60" w:hRule="exact"/>
        </w:trPr>
        <w:tc>
          <w:tcPr>
            <w:tcW w:w="723" w:type="pct"/>
            <w:shd w:val="pct50" w:color="auto" w:fill="auto"/>
          </w:tcPr>
          <w:p>
            <w:pPr>
              <w:pStyle w:val="93"/>
              <w:rPr>
                <w:rFonts w:hint="eastAsia" w:asciiTheme="minorEastAsia" w:hAnsiTheme="minorEastAsia" w:eastAsiaTheme="minorEastAsia" w:cstheme="minorEastAsia"/>
                <w:color w:val="000000"/>
                <w:sz w:val="24"/>
                <w:szCs w:val="24"/>
              </w:rPr>
            </w:pPr>
          </w:p>
        </w:tc>
        <w:tc>
          <w:tcPr>
            <w:tcW w:w="4276" w:type="pct"/>
            <w:shd w:val="pct50" w:color="auto" w:fill="auto"/>
          </w:tcPr>
          <w:p>
            <w:pPr>
              <w:pStyle w:val="93"/>
              <w:rPr>
                <w:rFonts w:hint="eastAsia" w:asciiTheme="minorEastAsia" w:hAnsiTheme="minorEastAsia" w:eastAsiaTheme="minorEastAsia" w:cs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c>
          <w:tcPr>
            <w:tcW w:w="723" w:type="pct"/>
            <w:vAlign w:val="center"/>
          </w:tcPr>
          <w:p>
            <w:pPr>
              <w:pStyle w:val="93"/>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w:t>
            </w:r>
          </w:p>
        </w:tc>
        <w:tc>
          <w:tcPr>
            <w:tcW w:w="4276" w:type="pct"/>
            <w:vAlign w:val="center"/>
          </w:tcPr>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textAlignment w:val="baseline"/>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支持</w:t>
            </w:r>
            <w:r>
              <w:rPr>
                <w:rFonts w:hint="eastAsia" w:asciiTheme="minorEastAsia" w:hAnsiTheme="minorEastAsia" w:eastAsiaTheme="minorEastAsia" w:cstheme="minorEastAsia"/>
                <w:color w:val="000000"/>
                <w:sz w:val="24"/>
                <w:szCs w:val="24"/>
              </w:rPr>
              <w:t>查看和监控当前进行中的审计项目的进展和状态；查看审计报告、结论和建议，并提供反馈和决策支持。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c>
          <w:tcPr>
            <w:tcW w:w="723" w:type="pct"/>
            <w:vAlign w:val="center"/>
          </w:tcPr>
          <w:p>
            <w:pPr>
              <w:pStyle w:val="93"/>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w:t>
            </w:r>
          </w:p>
        </w:tc>
        <w:tc>
          <w:tcPr>
            <w:tcW w:w="4276" w:type="pct"/>
            <w:vAlign w:val="center"/>
          </w:tcPr>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textAlignment w:val="baseline"/>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支持</w:t>
            </w:r>
            <w:r>
              <w:rPr>
                <w:rFonts w:hint="eastAsia" w:asciiTheme="minorEastAsia" w:hAnsiTheme="minorEastAsia" w:eastAsiaTheme="minorEastAsia" w:cstheme="minorEastAsia"/>
                <w:color w:val="000000"/>
                <w:sz w:val="24"/>
                <w:szCs w:val="24"/>
              </w:rPr>
              <w:t>审计项目立项</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rPr>
              <w:t>设置审计范围、目标和计划；分配和管理审计项目所需的人员、预算和其他资源；收集</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rPr>
              <w:t>整理与审计项目相关的文档、</w:t>
            </w:r>
            <w:r>
              <w:rPr>
                <w:rFonts w:hint="eastAsia" w:asciiTheme="minorEastAsia" w:hAnsiTheme="minorEastAsia" w:eastAsiaTheme="minorEastAsia" w:cstheme="minorEastAsia"/>
                <w:color w:val="000000"/>
                <w:sz w:val="24"/>
                <w:szCs w:val="24"/>
                <w:lang w:val="en-US" w:eastAsia="zh-CN"/>
              </w:rPr>
              <w:t>调查取证记录</w:t>
            </w:r>
            <w:r>
              <w:rPr>
                <w:rFonts w:hint="eastAsia" w:asciiTheme="minorEastAsia" w:hAnsiTheme="minorEastAsia" w:eastAsiaTheme="minorEastAsia" w:cstheme="minorEastAsia"/>
                <w:color w:val="000000"/>
                <w:sz w:val="24"/>
                <w:szCs w:val="24"/>
              </w:rPr>
              <w:t>；记录审计过程中的发现问题和改进建议；更新任务进度，</w:t>
            </w:r>
            <w:r>
              <w:rPr>
                <w:rFonts w:hint="eastAsia" w:asciiTheme="minorEastAsia" w:hAnsiTheme="minorEastAsia" w:eastAsiaTheme="minorEastAsia" w:cstheme="minorEastAsia"/>
                <w:color w:val="000000"/>
                <w:sz w:val="24"/>
                <w:szCs w:val="24"/>
                <w:lang w:val="en-US" w:eastAsia="zh-CN"/>
              </w:rPr>
              <w:t>审计</w:t>
            </w:r>
            <w:r>
              <w:rPr>
                <w:rFonts w:hint="eastAsia" w:asciiTheme="minorEastAsia" w:hAnsiTheme="minorEastAsia" w:eastAsiaTheme="minorEastAsia" w:cstheme="minorEastAsia"/>
                <w:color w:val="000000"/>
                <w:sz w:val="24"/>
                <w:szCs w:val="24"/>
              </w:rPr>
              <w:t>报告工作完成情况。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c>
          <w:tcPr>
            <w:tcW w:w="723" w:type="pct"/>
            <w:vAlign w:val="center"/>
          </w:tcPr>
          <w:p>
            <w:pPr>
              <w:pStyle w:val="93"/>
              <w:jc w:val="center"/>
              <w:rPr>
                <w:rFonts w:hint="eastAsia" w:asciiTheme="minorEastAsia" w:hAnsiTheme="minorEastAsia" w:eastAsiaTheme="minorEastAsia" w:cstheme="minorEastAsia"/>
                <w:color w:val="000000"/>
                <w:sz w:val="24"/>
                <w:szCs w:val="24"/>
                <w:lang w:val="en-US" w:eastAsia="zh-CN"/>
              </w:rPr>
            </w:pPr>
            <w:bookmarkStart w:id="14" w:name="_Toc9316"/>
            <w:r>
              <w:rPr>
                <w:rFonts w:hint="eastAsia" w:asciiTheme="minorEastAsia" w:hAnsiTheme="minorEastAsia" w:eastAsiaTheme="minorEastAsia" w:cstheme="minorEastAsia"/>
                <w:color w:val="000000"/>
                <w:sz w:val="24"/>
                <w:szCs w:val="24"/>
                <w:lang w:val="en-US" w:eastAsia="zh-CN"/>
              </w:rPr>
              <w:t>3</w:t>
            </w:r>
          </w:p>
        </w:tc>
        <w:tc>
          <w:tcPr>
            <w:tcW w:w="4276" w:type="pct"/>
            <w:vAlign w:val="center"/>
          </w:tcPr>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textAlignment w:val="baseline"/>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支持按照项目为单位形成审计项目台账，统一管理各个项目审计各个阶段的文档资料，支持快速查询检索。</w:t>
            </w:r>
          </w:p>
        </w:tc>
      </w:tr>
    </w:tbl>
    <w:p>
      <w:pPr>
        <w:pStyle w:val="6"/>
        <w:rPr>
          <w:rFonts w:hint="eastAsia" w:cs="Times New Roman" w:asciiTheme="minorEastAsia" w:hAnsiTheme="minorEastAsia" w:eastAsiaTheme="minorEastAsia"/>
          <w:b/>
          <w:bCs/>
          <w:kern w:val="2"/>
          <w:sz w:val="24"/>
          <w:szCs w:val="24"/>
          <w:lang w:val="en-US" w:eastAsia="zh-CN" w:bidi="ar-SA"/>
        </w:rPr>
      </w:pPr>
      <w:r>
        <w:rPr>
          <w:rFonts w:hint="eastAsia" w:cs="Times New Roman" w:asciiTheme="minorEastAsia" w:hAnsiTheme="minorEastAsia" w:eastAsiaTheme="minorEastAsia"/>
          <w:b/>
          <w:bCs/>
          <w:kern w:val="2"/>
          <w:sz w:val="24"/>
          <w:szCs w:val="24"/>
          <w:lang w:val="en-US" w:eastAsia="zh-CN" w:bidi="ar-SA"/>
        </w:rPr>
        <w:t>审计整改管理</w:t>
      </w:r>
      <w:bookmarkEnd w:id="14"/>
    </w:p>
    <w:p>
      <w:pPr>
        <w:pStyle w:val="7"/>
      </w:pPr>
      <w:bookmarkStart w:id="15" w:name="_Toc24584"/>
      <w:r>
        <w:rPr>
          <w:rFonts w:hint="eastAsia"/>
          <w:lang w:val="en-US" w:eastAsia="zh-CN"/>
        </w:rPr>
        <w:t>业务状况</w:t>
      </w:r>
      <w:bookmarkEnd w:id="15"/>
    </w:p>
    <w:p>
      <w:pPr>
        <w:pStyle w:val="92"/>
        <w:keepNext w:val="0"/>
        <w:keepLines w:val="0"/>
        <w:pageBreakBefore w:val="0"/>
        <w:widowControl/>
        <w:kinsoku/>
        <w:wordWrap/>
        <w:overflowPunct/>
        <w:topLinePunct w:val="0"/>
        <w:autoSpaceDE/>
        <w:autoSpaceDN/>
        <w:bidi w:val="0"/>
        <w:adjustRightInd w:val="0"/>
        <w:snapToGrid/>
        <w:spacing w:line="360" w:lineRule="auto"/>
        <w:ind w:left="0"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审计整改</w:t>
      </w:r>
      <w:r>
        <w:rPr>
          <w:rFonts w:hint="eastAsia" w:asciiTheme="minorEastAsia" w:hAnsiTheme="minorEastAsia" w:eastAsiaTheme="minorEastAsia" w:cstheme="minorEastAsia"/>
          <w:sz w:val="24"/>
          <w:szCs w:val="24"/>
          <w:lang w:val="en-US" w:eastAsia="zh-CN"/>
        </w:rPr>
        <w:t>包含</w:t>
      </w:r>
      <w:r>
        <w:rPr>
          <w:rFonts w:hint="eastAsia" w:asciiTheme="minorEastAsia" w:hAnsiTheme="minorEastAsia" w:eastAsiaTheme="minorEastAsia" w:cstheme="minorEastAsia"/>
          <w:sz w:val="24"/>
          <w:szCs w:val="24"/>
        </w:rPr>
        <w:t>外</w:t>
      </w:r>
      <w:r>
        <w:rPr>
          <w:rFonts w:hint="eastAsia" w:asciiTheme="minorEastAsia" w:hAnsiTheme="minorEastAsia" w:eastAsiaTheme="minorEastAsia" w:cstheme="minorEastAsia"/>
          <w:sz w:val="24"/>
          <w:szCs w:val="24"/>
          <w:lang w:val="en-US" w:eastAsia="zh-CN"/>
        </w:rPr>
        <w:t>部项目审计</w:t>
      </w:r>
      <w:r>
        <w:rPr>
          <w:rFonts w:hint="eastAsia" w:asciiTheme="minorEastAsia" w:hAnsiTheme="minorEastAsia" w:eastAsiaTheme="minorEastAsia" w:cstheme="minorEastAsia"/>
          <w:sz w:val="24"/>
          <w:szCs w:val="24"/>
        </w:rPr>
        <w:t>整改和</w:t>
      </w:r>
      <w:r>
        <w:rPr>
          <w:rFonts w:hint="eastAsia" w:asciiTheme="minorEastAsia" w:hAnsiTheme="minorEastAsia" w:eastAsiaTheme="minorEastAsia" w:cstheme="minorEastAsia"/>
          <w:sz w:val="24"/>
          <w:szCs w:val="24"/>
          <w:lang w:val="en-US" w:eastAsia="zh-CN"/>
        </w:rPr>
        <w:t>内部项目审计</w:t>
      </w:r>
      <w:r>
        <w:rPr>
          <w:rFonts w:hint="eastAsia" w:asciiTheme="minorEastAsia" w:hAnsiTheme="minorEastAsia" w:eastAsiaTheme="minorEastAsia" w:cstheme="minorEastAsia"/>
          <w:sz w:val="24"/>
          <w:szCs w:val="24"/>
        </w:rPr>
        <w:t>整改两</w:t>
      </w:r>
      <w:r>
        <w:rPr>
          <w:rFonts w:hint="eastAsia" w:asciiTheme="minorEastAsia" w:hAnsiTheme="minorEastAsia" w:eastAsiaTheme="minorEastAsia" w:cstheme="minorEastAsia"/>
          <w:sz w:val="24"/>
          <w:szCs w:val="24"/>
          <w:lang w:val="en-US" w:eastAsia="zh-CN"/>
        </w:rPr>
        <w:t>类</w:t>
      </w:r>
      <w:r>
        <w:rPr>
          <w:rFonts w:hint="eastAsia" w:asciiTheme="minorEastAsia" w:hAnsiTheme="minorEastAsia" w:eastAsiaTheme="minorEastAsia" w:cstheme="minorEastAsia"/>
          <w:sz w:val="24"/>
          <w:szCs w:val="24"/>
        </w:rPr>
        <w:t>。审计整改流程包括</w:t>
      </w:r>
      <w:r>
        <w:rPr>
          <w:rFonts w:hint="eastAsia" w:asciiTheme="minorEastAsia" w:hAnsiTheme="minorEastAsia" w:eastAsiaTheme="minorEastAsia" w:cstheme="minorEastAsia"/>
          <w:sz w:val="24"/>
          <w:szCs w:val="24"/>
          <w:lang w:val="en-US" w:eastAsia="zh-CN"/>
        </w:rPr>
        <w:t>下发</w:t>
      </w:r>
      <w:r>
        <w:rPr>
          <w:rFonts w:hint="eastAsia" w:asciiTheme="minorEastAsia" w:hAnsiTheme="minorEastAsia" w:eastAsiaTheme="minorEastAsia" w:cstheme="minorEastAsia"/>
          <w:sz w:val="24"/>
          <w:szCs w:val="24"/>
        </w:rPr>
        <w:t>审计整改通知、</w:t>
      </w:r>
      <w:r>
        <w:rPr>
          <w:rFonts w:hint="eastAsia" w:asciiTheme="minorEastAsia" w:hAnsiTheme="minorEastAsia" w:eastAsiaTheme="minorEastAsia" w:cstheme="minorEastAsia"/>
          <w:sz w:val="24"/>
          <w:szCs w:val="24"/>
          <w:lang w:val="en-US" w:eastAsia="zh-CN"/>
        </w:rPr>
        <w:t>部署审计整改任务、上报审计</w:t>
      </w:r>
      <w:r>
        <w:rPr>
          <w:rFonts w:hint="eastAsia" w:asciiTheme="minorEastAsia" w:hAnsiTheme="minorEastAsia" w:eastAsiaTheme="minorEastAsia" w:cstheme="minorEastAsia"/>
          <w:sz w:val="24"/>
          <w:szCs w:val="24"/>
        </w:rPr>
        <w:t>整改方案、</w:t>
      </w:r>
      <w:r>
        <w:rPr>
          <w:rFonts w:hint="eastAsia" w:asciiTheme="minorEastAsia" w:hAnsiTheme="minorEastAsia" w:eastAsiaTheme="minorEastAsia" w:cstheme="minorEastAsia"/>
          <w:sz w:val="24"/>
          <w:szCs w:val="24"/>
          <w:lang w:val="en-US" w:eastAsia="zh-CN"/>
        </w:rPr>
        <w:t>报送审计</w:t>
      </w:r>
      <w:r>
        <w:rPr>
          <w:rFonts w:hint="eastAsia" w:asciiTheme="minorEastAsia" w:hAnsiTheme="minorEastAsia" w:eastAsiaTheme="minorEastAsia" w:cstheme="minorEastAsia"/>
          <w:sz w:val="24"/>
          <w:szCs w:val="24"/>
        </w:rPr>
        <w:t>整改报告和整改情况跟踪等步骤。</w:t>
      </w:r>
    </w:p>
    <w:p>
      <w:pPr>
        <w:pStyle w:val="92"/>
        <w:keepNext w:val="0"/>
        <w:keepLines w:val="0"/>
        <w:pageBreakBefore w:val="0"/>
        <w:widowControl/>
        <w:kinsoku/>
        <w:wordWrap/>
        <w:overflowPunct/>
        <w:topLinePunct w:val="0"/>
        <w:autoSpaceDE/>
        <w:autoSpaceDN/>
        <w:bidi w:val="0"/>
        <w:adjustRightInd w:val="0"/>
        <w:snapToGrid/>
        <w:spacing w:line="360" w:lineRule="auto"/>
        <w:ind w:left="0"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外部项目审计</w:t>
      </w:r>
      <w:r>
        <w:rPr>
          <w:rFonts w:hint="eastAsia" w:asciiTheme="minorEastAsia" w:hAnsiTheme="minorEastAsia" w:eastAsiaTheme="minorEastAsia" w:cstheme="minorEastAsia"/>
          <w:sz w:val="24"/>
          <w:szCs w:val="24"/>
        </w:rPr>
        <w:t>整改：外部审计机构向</w:t>
      </w:r>
      <w:r>
        <w:rPr>
          <w:rFonts w:hint="eastAsia" w:asciiTheme="minorEastAsia" w:hAnsiTheme="minorEastAsia" w:eastAsiaTheme="minorEastAsia" w:cstheme="minorEastAsia"/>
          <w:sz w:val="24"/>
          <w:szCs w:val="24"/>
          <w:lang w:val="en-US" w:eastAsia="zh-CN"/>
        </w:rPr>
        <w:t>审计法务部</w:t>
      </w:r>
      <w:r>
        <w:rPr>
          <w:rFonts w:hint="eastAsia" w:asciiTheme="minorEastAsia" w:hAnsiTheme="minorEastAsia" w:eastAsiaTheme="minorEastAsia" w:cstheme="minorEastAsia"/>
          <w:sz w:val="24"/>
          <w:szCs w:val="24"/>
        </w:rPr>
        <w:t>发出审计整改通知，</w:t>
      </w:r>
      <w:r>
        <w:rPr>
          <w:rFonts w:hint="eastAsia" w:asciiTheme="minorEastAsia" w:hAnsiTheme="minorEastAsia" w:eastAsiaTheme="minorEastAsia" w:cstheme="minorEastAsia"/>
          <w:sz w:val="24"/>
          <w:szCs w:val="24"/>
          <w:lang w:val="en-US" w:eastAsia="zh-CN"/>
        </w:rPr>
        <w:t>明确</w:t>
      </w:r>
      <w:r>
        <w:rPr>
          <w:rFonts w:hint="eastAsia" w:asciiTheme="minorEastAsia" w:hAnsiTheme="minorEastAsia" w:eastAsiaTheme="minorEastAsia" w:cstheme="minorEastAsia"/>
          <w:sz w:val="24"/>
          <w:szCs w:val="24"/>
        </w:rPr>
        <w:t>审计</w:t>
      </w:r>
      <w:r>
        <w:rPr>
          <w:rFonts w:hint="eastAsia" w:asciiTheme="minorEastAsia" w:hAnsiTheme="minorEastAsia" w:eastAsiaTheme="minorEastAsia" w:cstheme="minorEastAsia"/>
          <w:sz w:val="24"/>
          <w:szCs w:val="24"/>
          <w:lang w:val="en-US" w:eastAsia="zh-CN"/>
        </w:rPr>
        <w:t>过程中</w:t>
      </w:r>
      <w:r>
        <w:rPr>
          <w:rFonts w:hint="eastAsia" w:asciiTheme="minorEastAsia" w:hAnsiTheme="minorEastAsia" w:eastAsiaTheme="minorEastAsia" w:cstheme="minorEastAsia"/>
          <w:sz w:val="24"/>
          <w:szCs w:val="24"/>
        </w:rPr>
        <w:t>发现的问题。</w:t>
      </w:r>
      <w:r>
        <w:rPr>
          <w:rFonts w:hint="eastAsia" w:asciiTheme="minorEastAsia" w:hAnsiTheme="minorEastAsia" w:eastAsiaTheme="minorEastAsia" w:cstheme="minorEastAsia"/>
          <w:sz w:val="24"/>
          <w:szCs w:val="24"/>
          <w:lang w:val="en-US" w:eastAsia="zh-CN"/>
        </w:rPr>
        <w:t>由被审计部门或单位</w:t>
      </w:r>
      <w:r>
        <w:rPr>
          <w:rFonts w:hint="eastAsia" w:asciiTheme="minorEastAsia" w:hAnsiTheme="minorEastAsia" w:eastAsiaTheme="minorEastAsia" w:cstheme="minorEastAsia"/>
          <w:sz w:val="24"/>
          <w:szCs w:val="24"/>
        </w:rPr>
        <w:t>根据审计整改通知制定整改方案，明确整改的目标、时间表、责任人和相应的措施。</w:t>
      </w:r>
      <w:r>
        <w:rPr>
          <w:rFonts w:hint="eastAsia" w:asciiTheme="minorEastAsia" w:hAnsiTheme="minorEastAsia" w:eastAsiaTheme="minorEastAsia" w:cstheme="minorEastAsia"/>
          <w:sz w:val="24"/>
          <w:szCs w:val="24"/>
          <w:lang w:val="en-US" w:eastAsia="zh-CN"/>
        </w:rPr>
        <w:t>整改工作方案明确后，审计法务部</w:t>
      </w:r>
      <w:r>
        <w:rPr>
          <w:rFonts w:hint="eastAsia" w:asciiTheme="minorEastAsia" w:hAnsiTheme="minorEastAsia" w:eastAsiaTheme="minorEastAsia" w:cstheme="minorEastAsia"/>
          <w:sz w:val="24"/>
          <w:szCs w:val="24"/>
        </w:rPr>
        <w:t>向外部审计机构提交整改</w:t>
      </w:r>
      <w:r>
        <w:rPr>
          <w:rFonts w:hint="eastAsia" w:asciiTheme="minorEastAsia" w:hAnsiTheme="minorEastAsia" w:eastAsiaTheme="minorEastAsia" w:cstheme="minorEastAsia"/>
          <w:sz w:val="24"/>
          <w:szCs w:val="24"/>
          <w:lang w:val="en-US" w:eastAsia="zh-CN"/>
        </w:rPr>
        <w:t>工作方案。被审计对象在确认审计整改工作方案后同步开展审计整改工作并报送审计整改工作报告，</w:t>
      </w:r>
      <w:r>
        <w:rPr>
          <w:rFonts w:hint="eastAsia" w:asciiTheme="minorEastAsia" w:hAnsiTheme="minorEastAsia" w:eastAsiaTheme="minorEastAsia" w:cstheme="minorEastAsia"/>
          <w:sz w:val="24"/>
          <w:szCs w:val="24"/>
        </w:rPr>
        <w:t>详细描述</w:t>
      </w:r>
      <w:r>
        <w:rPr>
          <w:rFonts w:hint="eastAsia" w:asciiTheme="minorEastAsia" w:hAnsiTheme="minorEastAsia" w:eastAsiaTheme="minorEastAsia" w:cstheme="minorEastAsia"/>
          <w:sz w:val="24"/>
          <w:szCs w:val="24"/>
          <w:lang w:val="en-US" w:eastAsia="zh-CN"/>
        </w:rPr>
        <w:t>问题</w:t>
      </w:r>
      <w:r>
        <w:rPr>
          <w:rFonts w:hint="eastAsia" w:asciiTheme="minorEastAsia" w:hAnsiTheme="minorEastAsia" w:eastAsiaTheme="minorEastAsia" w:cstheme="minorEastAsia"/>
          <w:sz w:val="24"/>
          <w:szCs w:val="24"/>
        </w:rPr>
        <w:t>整改的执行情况和达成的结果。外部审计机构对</w:t>
      </w:r>
      <w:r>
        <w:rPr>
          <w:rFonts w:hint="eastAsia" w:asciiTheme="minorEastAsia" w:hAnsiTheme="minorEastAsia" w:eastAsiaTheme="minorEastAsia" w:cstheme="minorEastAsia"/>
          <w:sz w:val="24"/>
          <w:szCs w:val="24"/>
          <w:lang w:val="en-US" w:eastAsia="zh-CN"/>
        </w:rPr>
        <w:t>被审计对象</w:t>
      </w:r>
      <w:r>
        <w:rPr>
          <w:rFonts w:hint="eastAsia" w:asciiTheme="minorEastAsia" w:hAnsiTheme="minorEastAsia" w:eastAsiaTheme="minorEastAsia" w:cstheme="minorEastAsia"/>
          <w:sz w:val="24"/>
          <w:szCs w:val="24"/>
        </w:rPr>
        <w:t>提交的整改报告进行评估和跟踪，确保问题得到妥善解决和整改的有效性。</w:t>
      </w:r>
    </w:p>
    <w:p>
      <w:pPr>
        <w:pStyle w:val="92"/>
        <w:keepNext w:val="0"/>
        <w:keepLines w:val="0"/>
        <w:pageBreakBefore w:val="0"/>
        <w:widowControl/>
        <w:kinsoku/>
        <w:wordWrap/>
        <w:overflowPunct/>
        <w:topLinePunct w:val="0"/>
        <w:autoSpaceDE/>
        <w:autoSpaceDN/>
        <w:bidi w:val="0"/>
        <w:adjustRightInd w:val="0"/>
        <w:snapToGrid/>
        <w:spacing w:line="360" w:lineRule="auto"/>
        <w:ind w:left="0" w:firstLine="42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内</w:t>
      </w:r>
      <w:r>
        <w:rPr>
          <w:rFonts w:hint="eastAsia" w:asciiTheme="minorEastAsia" w:hAnsiTheme="minorEastAsia" w:eastAsiaTheme="minorEastAsia" w:cstheme="minorEastAsia"/>
          <w:sz w:val="24"/>
          <w:szCs w:val="24"/>
          <w:lang w:val="en-US" w:eastAsia="zh-CN"/>
        </w:rPr>
        <w:t>部想审计</w:t>
      </w:r>
      <w:r>
        <w:rPr>
          <w:rFonts w:hint="eastAsia" w:asciiTheme="minorEastAsia" w:hAnsiTheme="minorEastAsia" w:eastAsiaTheme="minorEastAsia" w:cstheme="minorEastAsia"/>
          <w:sz w:val="24"/>
          <w:szCs w:val="24"/>
        </w:rPr>
        <w:t>整改：</w:t>
      </w:r>
      <w:r>
        <w:rPr>
          <w:rFonts w:hint="eastAsia" w:asciiTheme="minorEastAsia" w:hAnsiTheme="minorEastAsia" w:eastAsiaTheme="minorEastAsia" w:cstheme="minorEastAsia"/>
          <w:sz w:val="24"/>
          <w:szCs w:val="24"/>
          <w:lang w:val="en-US" w:eastAsia="zh-CN"/>
        </w:rPr>
        <w:t>由审计法务部</w:t>
      </w:r>
      <w:r>
        <w:rPr>
          <w:rFonts w:hint="eastAsia" w:asciiTheme="minorEastAsia" w:hAnsiTheme="minorEastAsia" w:eastAsiaTheme="minorEastAsia" w:cstheme="minorEastAsia"/>
          <w:sz w:val="24"/>
          <w:szCs w:val="24"/>
        </w:rPr>
        <w:t>向</w:t>
      </w:r>
      <w:r>
        <w:rPr>
          <w:rFonts w:hint="eastAsia" w:asciiTheme="minorEastAsia" w:hAnsiTheme="minorEastAsia" w:eastAsiaTheme="minorEastAsia" w:cstheme="minorEastAsia"/>
          <w:sz w:val="24"/>
          <w:szCs w:val="24"/>
          <w:lang w:val="en-US" w:eastAsia="zh-CN"/>
        </w:rPr>
        <w:t>被审计对象</w:t>
      </w:r>
      <w:r>
        <w:rPr>
          <w:rFonts w:hint="eastAsia" w:asciiTheme="minorEastAsia" w:hAnsiTheme="minorEastAsia" w:eastAsiaTheme="minorEastAsia" w:cstheme="minorEastAsia"/>
          <w:sz w:val="24"/>
          <w:szCs w:val="24"/>
        </w:rPr>
        <w:t>发出审计整改通知，</w:t>
      </w:r>
      <w:r>
        <w:rPr>
          <w:rFonts w:hint="eastAsia" w:asciiTheme="minorEastAsia" w:hAnsiTheme="minorEastAsia" w:eastAsiaTheme="minorEastAsia" w:cstheme="minorEastAsia"/>
          <w:sz w:val="24"/>
          <w:szCs w:val="24"/>
          <w:lang w:val="en-US" w:eastAsia="zh-CN"/>
        </w:rPr>
        <w:t>明确</w:t>
      </w:r>
      <w:r>
        <w:rPr>
          <w:rFonts w:hint="eastAsia" w:asciiTheme="minorEastAsia" w:hAnsiTheme="minorEastAsia" w:eastAsiaTheme="minorEastAsia" w:cstheme="minorEastAsia"/>
          <w:sz w:val="24"/>
          <w:szCs w:val="24"/>
        </w:rPr>
        <w:t>内部审计发现的问题和需要进行整改的</w:t>
      </w:r>
      <w:r>
        <w:rPr>
          <w:rFonts w:hint="eastAsia" w:asciiTheme="minorEastAsia" w:hAnsiTheme="minorEastAsia" w:eastAsiaTheme="minorEastAsia" w:cstheme="minorEastAsia"/>
          <w:sz w:val="24"/>
          <w:szCs w:val="24"/>
          <w:lang w:val="en-US" w:eastAsia="zh-CN"/>
        </w:rPr>
        <w:t>内容及解决措施和建议</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被审计对象</w:t>
      </w:r>
      <w:r>
        <w:rPr>
          <w:rFonts w:hint="eastAsia" w:asciiTheme="minorEastAsia" w:hAnsiTheme="minorEastAsia" w:eastAsiaTheme="minorEastAsia" w:cstheme="minorEastAsia"/>
          <w:sz w:val="24"/>
          <w:szCs w:val="24"/>
        </w:rPr>
        <w:t>在收到审计整改通知后，制定整改</w:t>
      </w:r>
      <w:r>
        <w:rPr>
          <w:rFonts w:hint="eastAsia" w:asciiTheme="minorEastAsia" w:hAnsiTheme="minorEastAsia" w:eastAsiaTheme="minorEastAsia" w:cstheme="minorEastAsia"/>
          <w:sz w:val="24"/>
          <w:szCs w:val="24"/>
          <w:lang w:val="en-US" w:eastAsia="zh-CN"/>
        </w:rPr>
        <w:t>工作</w:t>
      </w:r>
      <w:r>
        <w:rPr>
          <w:rFonts w:hint="eastAsia" w:asciiTheme="minorEastAsia" w:hAnsiTheme="minorEastAsia" w:eastAsiaTheme="minorEastAsia" w:cstheme="minorEastAsia"/>
          <w:sz w:val="24"/>
          <w:szCs w:val="24"/>
        </w:rPr>
        <w:t>方案，明确整改的目标、时间表、责任人和具体措施。</w:t>
      </w:r>
      <w:r>
        <w:rPr>
          <w:rFonts w:hint="eastAsia" w:asciiTheme="minorEastAsia" w:hAnsiTheme="minorEastAsia" w:eastAsiaTheme="minorEastAsia" w:cstheme="minorEastAsia"/>
          <w:sz w:val="24"/>
          <w:szCs w:val="24"/>
          <w:lang w:val="en-US" w:eastAsia="zh-CN"/>
        </w:rPr>
        <w:t>被审计对象</w:t>
      </w:r>
      <w:r>
        <w:rPr>
          <w:rFonts w:hint="eastAsia" w:asciiTheme="minorEastAsia" w:hAnsiTheme="minorEastAsia" w:eastAsiaTheme="minorEastAsia" w:cstheme="minorEastAsia"/>
          <w:sz w:val="24"/>
          <w:szCs w:val="24"/>
        </w:rPr>
        <w:t>完成整改后，编制整改</w:t>
      </w:r>
      <w:r>
        <w:rPr>
          <w:rFonts w:hint="eastAsia" w:asciiTheme="minorEastAsia" w:hAnsiTheme="minorEastAsia" w:eastAsiaTheme="minorEastAsia" w:cstheme="minorEastAsia"/>
          <w:sz w:val="24"/>
          <w:szCs w:val="24"/>
          <w:lang w:val="en-US" w:eastAsia="zh-CN"/>
        </w:rPr>
        <w:t>工作</w:t>
      </w:r>
      <w:r>
        <w:rPr>
          <w:rFonts w:hint="eastAsia" w:asciiTheme="minorEastAsia" w:hAnsiTheme="minorEastAsia" w:eastAsiaTheme="minorEastAsia" w:cstheme="minorEastAsia"/>
          <w:sz w:val="24"/>
          <w:szCs w:val="24"/>
        </w:rPr>
        <w:t>报告，详细记录整改措施的执行情况和达成的结果。</w:t>
      </w:r>
      <w:r>
        <w:rPr>
          <w:rFonts w:hint="eastAsia" w:asciiTheme="minorEastAsia" w:hAnsiTheme="minorEastAsia" w:eastAsiaTheme="minorEastAsia" w:cstheme="minorEastAsia"/>
          <w:sz w:val="24"/>
          <w:szCs w:val="24"/>
          <w:lang w:val="en-US" w:eastAsia="zh-CN"/>
        </w:rPr>
        <w:t>由审计法务部</w:t>
      </w:r>
      <w:r>
        <w:rPr>
          <w:rFonts w:hint="eastAsia" w:asciiTheme="minorEastAsia" w:hAnsiTheme="minorEastAsia" w:eastAsiaTheme="minorEastAsia" w:cstheme="minorEastAsia"/>
          <w:sz w:val="24"/>
          <w:szCs w:val="24"/>
        </w:rPr>
        <w:t>对</w:t>
      </w:r>
      <w:r>
        <w:rPr>
          <w:rFonts w:hint="eastAsia" w:asciiTheme="minorEastAsia" w:hAnsiTheme="minorEastAsia" w:eastAsiaTheme="minorEastAsia" w:cstheme="minorEastAsia"/>
          <w:sz w:val="24"/>
          <w:szCs w:val="24"/>
          <w:lang w:val="en-US" w:eastAsia="zh-CN"/>
        </w:rPr>
        <w:t>被审计对象</w:t>
      </w:r>
      <w:r>
        <w:rPr>
          <w:rFonts w:hint="eastAsia" w:asciiTheme="minorEastAsia" w:hAnsiTheme="minorEastAsia" w:eastAsiaTheme="minorEastAsia" w:cstheme="minorEastAsia"/>
          <w:sz w:val="24"/>
          <w:szCs w:val="24"/>
        </w:rPr>
        <w:t>提交的整改报告进行评估和跟踪，确保问题得到解决和整改的有效性。</w:t>
      </w:r>
    </w:p>
    <w:p>
      <w:pPr>
        <w:pStyle w:val="7"/>
        <w:rPr>
          <w:rFonts w:hint="eastAsia" w:ascii="Times New Roman" w:hAnsi="Times New Roman" w:eastAsia="宋体" w:cs="Times New Roman"/>
          <w:b/>
          <w:bCs/>
          <w:kern w:val="2"/>
          <w:sz w:val="24"/>
          <w:szCs w:val="24"/>
          <w:lang w:val="en-US" w:eastAsia="zh-CN" w:bidi="ar-SA"/>
        </w:rPr>
      </w:pPr>
      <w:bookmarkStart w:id="16" w:name="_Toc3633"/>
      <w:r>
        <w:rPr>
          <w:rFonts w:hint="eastAsia" w:cs="Times New Roman"/>
          <w:b/>
          <w:bCs/>
          <w:kern w:val="2"/>
          <w:sz w:val="24"/>
          <w:szCs w:val="24"/>
          <w:lang w:val="en-US" w:eastAsia="zh-CN" w:bidi="ar-SA"/>
        </w:rPr>
        <w:t>业务基本需求</w:t>
      </w:r>
      <w:bookmarkEnd w:id="16"/>
    </w:p>
    <w:p>
      <w:pPr>
        <w:pStyle w:val="92"/>
        <w:spacing w:line="360" w:lineRule="auto"/>
        <w:ind w:left="0" w:firstLine="420"/>
        <w:rPr>
          <w:rFonts w:hint="eastAsia" w:ascii="宋体" w:hAnsi="宋体" w:eastAsia="宋体" w:cs="宋体"/>
          <w:b w:val="0"/>
          <w:bCs w:val="0"/>
          <w:sz w:val="24"/>
          <w:szCs w:val="24"/>
        </w:rPr>
      </w:pPr>
      <w:r>
        <w:rPr>
          <w:rFonts w:hint="eastAsia" w:ascii="宋体" w:hAnsi="宋体" w:eastAsia="宋体" w:cs="宋体"/>
          <w:b w:val="0"/>
          <w:bCs w:val="0"/>
          <w:kern w:val="2"/>
          <w:sz w:val="24"/>
          <w:szCs w:val="24"/>
          <w:lang w:val="en-US" w:eastAsia="zh-CN" w:bidi="ar-SA"/>
        </w:rPr>
        <w:t>1</w:t>
      </w:r>
      <w:r>
        <w:rPr>
          <w:rFonts w:hint="eastAsia" w:ascii="宋体" w:hAnsi="宋体" w:cs="宋体"/>
          <w:b w:val="0"/>
          <w:bCs w:val="0"/>
          <w:kern w:val="2"/>
          <w:sz w:val="24"/>
          <w:szCs w:val="24"/>
          <w:lang w:val="en-US" w:eastAsia="zh-CN" w:bidi="ar-SA"/>
        </w:rPr>
        <w:t>.</w:t>
      </w:r>
      <w:r>
        <w:rPr>
          <w:rFonts w:hint="eastAsia" w:ascii="宋体" w:hAnsi="宋体" w:eastAsia="宋体" w:cs="宋体"/>
          <w:b w:val="0"/>
          <w:bCs w:val="0"/>
          <w:kern w:val="2"/>
          <w:sz w:val="24"/>
          <w:szCs w:val="24"/>
          <w:lang w:val="en-US" w:eastAsia="zh-CN" w:bidi="ar-SA"/>
        </w:rPr>
        <w:t>实现</w:t>
      </w:r>
      <w:r>
        <w:rPr>
          <w:rFonts w:hint="eastAsia" w:ascii="宋体" w:hAnsi="宋体" w:cs="宋体"/>
          <w:b w:val="0"/>
          <w:bCs w:val="0"/>
          <w:kern w:val="2"/>
          <w:sz w:val="24"/>
          <w:szCs w:val="24"/>
          <w:lang w:val="en-US" w:eastAsia="zh-CN" w:bidi="ar-SA"/>
        </w:rPr>
        <w:t>内外部审计项目整改管理，支持从审计整改通知书、审计整改工作方案、报送审计整改报告、分解整改审核事项、跟踪整改完成情况、最终全部问题销号的全流程闭环管理。</w:t>
      </w:r>
    </w:p>
    <w:p>
      <w:pPr>
        <w:pStyle w:val="5"/>
        <w:ind w:left="0" w:leftChars="0" w:firstLine="420" w:firstLineChars="0"/>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w:t>
      </w:r>
      <w:r>
        <w:rPr>
          <w:rFonts w:hint="eastAsia" w:ascii="宋体" w:hAnsi="宋体" w:cs="宋体"/>
          <w:b w:val="0"/>
          <w:bCs w:val="0"/>
          <w:sz w:val="24"/>
          <w:szCs w:val="24"/>
          <w:lang w:val="en-US" w:eastAsia="zh-CN"/>
        </w:rPr>
        <w:t>.实现审计整改问题台账管理，以项目为单位，建立审计整改问题台账，能实时跟踪、监控问题整改进度和状态。</w:t>
      </w:r>
    </w:p>
    <w:p>
      <w:pPr>
        <w:pStyle w:val="7"/>
        <w:rPr>
          <w:rFonts w:hint="eastAsia" w:ascii="Times New Roman" w:hAnsi="Times New Roman" w:eastAsia="宋体" w:cs="Times New Roman"/>
          <w:b/>
          <w:bCs/>
          <w:kern w:val="2"/>
          <w:sz w:val="24"/>
          <w:szCs w:val="24"/>
          <w:lang w:val="en-US" w:eastAsia="zh-CN" w:bidi="ar-SA"/>
        </w:rPr>
      </w:pPr>
      <w:bookmarkStart w:id="17" w:name="_Toc28457"/>
      <w:r>
        <w:rPr>
          <w:rFonts w:hint="eastAsia" w:cs="Times New Roman"/>
          <w:b/>
          <w:bCs/>
          <w:kern w:val="2"/>
          <w:sz w:val="24"/>
          <w:szCs w:val="24"/>
          <w:lang w:val="en-US" w:eastAsia="zh-CN" w:bidi="ar-SA"/>
        </w:rPr>
        <w:t>详细需求说明</w:t>
      </w:r>
      <w:bookmarkEnd w:id="17"/>
    </w:p>
    <w:p>
      <w:pPr>
        <w:pStyle w:val="8"/>
      </w:pPr>
      <w:r>
        <w:rPr>
          <w:rFonts w:hint="eastAsia"/>
          <w:lang w:val="en-US" w:eastAsia="zh-CN"/>
        </w:rPr>
        <w:t>业务场景</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5652"/>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shd w:val="clear" w:color="auto" w:fill="D7D7D7" w:themeFill="background1" w:themeFillShade="D8"/>
            <w:vAlign w:val="center"/>
          </w:tcPr>
          <w:p>
            <w:pPr>
              <w:pStyle w:val="5"/>
              <w:ind w:left="0" w:leftChars="0" w:firstLine="0" w:firstLineChars="0"/>
              <w:rPr>
                <w:rFonts w:hint="eastAsia" w:eastAsia="宋体"/>
                <w:b/>
                <w:bCs/>
                <w:sz w:val="24"/>
                <w:szCs w:val="24"/>
                <w:vertAlign w:val="baseline"/>
                <w:lang w:val="en-US" w:eastAsia="zh-CN"/>
              </w:rPr>
            </w:pPr>
            <w:r>
              <w:rPr>
                <w:rFonts w:hint="eastAsia"/>
                <w:b/>
                <w:bCs/>
                <w:sz w:val="24"/>
                <w:szCs w:val="24"/>
                <w:vertAlign w:val="baseline"/>
                <w:lang w:val="en-US" w:eastAsia="zh-CN"/>
              </w:rPr>
              <w:t>阶段</w:t>
            </w:r>
          </w:p>
        </w:tc>
        <w:tc>
          <w:tcPr>
            <w:tcW w:w="5652" w:type="dxa"/>
            <w:shd w:val="clear" w:color="auto" w:fill="D7D7D7" w:themeFill="background1" w:themeFillShade="D8"/>
            <w:vAlign w:val="center"/>
          </w:tcPr>
          <w:p>
            <w:pPr>
              <w:pStyle w:val="5"/>
              <w:ind w:left="0" w:leftChars="0" w:firstLine="0" w:firstLineChars="0"/>
              <w:rPr>
                <w:rFonts w:hint="eastAsia" w:eastAsia="宋体"/>
                <w:b/>
                <w:bCs/>
                <w:sz w:val="24"/>
                <w:szCs w:val="24"/>
                <w:vertAlign w:val="baseline"/>
                <w:lang w:val="en-US" w:eastAsia="zh-CN"/>
              </w:rPr>
            </w:pPr>
            <w:r>
              <w:rPr>
                <w:rFonts w:hint="eastAsia"/>
                <w:b/>
                <w:bCs/>
                <w:sz w:val="24"/>
                <w:szCs w:val="24"/>
                <w:vertAlign w:val="baseline"/>
                <w:lang w:val="en-US" w:eastAsia="zh-CN"/>
              </w:rPr>
              <w:t>场景</w:t>
            </w:r>
          </w:p>
        </w:tc>
        <w:tc>
          <w:tcPr>
            <w:tcW w:w="1820" w:type="dxa"/>
            <w:shd w:val="clear" w:color="auto" w:fill="D7D7D7" w:themeFill="background1" w:themeFillShade="D8"/>
            <w:vAlign w:val="center"/>
          </w:tcPr>
          <w:p>
            <w:pPr>
              <w:pStyle w:val="5"/>
              <w:ind w:left="0" w:leftChars="0" w:firstLine="0" w:firstLineChars="0"/>
              <w:rPr>
                <w:rFonts w:hint="default" w:eastAsia="宋体"/>
                <w:b/>
                <w:bCs/>
                <w:sz w:val="24"/>
                <w:szCs w:val="24"/>
                <w:vertAlign w:val="baseline"/>
                <w:lang w:val="en-US" w:eastAsia="zh-CN"/>
              </w:rPr>
            </w:pPr>
            <w:r>
              <w:rPr>
                <w:rFonts w:hint="eastAsia"/>
                <w:b/>
                <w:bCs/>
                <w:sz w:val="24"/>
                <w:szCs w:val="24"/>
                <w:vertAlign w:val="baseline"/>
                <w:lang w:val="en-US" w:eastAsia="zh-CN"/>
              </w:rPr>
              <w:t>部门/用户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default" w:eastAsia="宋体"/>
                <w:sz w:val="24"/>
                <w:szCs w:val="24"/>
                <w:vertAlign w:val="baseline"/>
                <w:lang w:val="en-US" w:eastAsia="zh-CN"/>
              </w:rPr>
            </w:pPr>
            <w:r>
              <w:rPr>
                <w:rFonts w:hint="eastAsia"/>
                <w:sz w:val="24"/>
                <w:szCs w:val="24"/>
                <w:vertAlign w:val="baseline"/>
                <w:lang w:val="en-US" w:eastAsia="zh-CN"/>
              </w:rPr>
              <w:t>限期整改阶段</w:t>
            </w:r>
          </w:p>
        </w:tc>
        <w:tc>
          <w:tcPr>
            <w:tcW w:w="5652" w:type="dxa"/>
            <w:vAlign w:val="center"/>
          </w:tcPr>
          <w:p>
            <w:pPr>
              <w:pStyle w:val="5"/>
              <w:ind w:left="0" w:leftChars="0" w:firstLine="0" w:firstLineChars="0"/>
              <w:rPr>
                <w:rFonts w:hint="default" w:eastAsia="宋体"/>
                <w:sz w:val="24"/>
                <w:szCs w:val="24"/>
                <w:vertAlign w:val="baseline"/>
                <w:lang w:val="en-US" w:eastAsia="zh-CN"/>
              </w:rPr>
            </w:pPr>
            <w:r>
              <w:rPr>
                <w:rFonts w:hint="eastAsia"/>
                <w:sz w:val="24"/>
                <w:szCs w:val="24"/>
                <w:vertAlign w:val="baseline"/>
                <w:lang w:val="en-US" w:eastAsia="zh-CN"/>
              </w:rPr>
              <w:t>内部审计机构在审计实施中，督促被审计对象及时整改审计发现的问题，由审计组出具审计整改通知书，经集团董事长审批签发后，被审计对象需在60日内将整改情况书面报送集团。</w:t>
            </w:r>
          </w:p>
        </w:tc>
        <w:tc>
          <w:tcPr>
            <w:tcW w:w="1820" w:type="dxa"/>
            <w:vAlign w:val="center"/>
          </w:tcPr>
          <w:p>
            <w:pPr>
              <w:pStyle w:val="5"/>
              <w:ind w:left="0" w:leftChars="0" w:firstLine="0" w:firstLineChars="0"/>
              <w:rPr>
                <w:rFonts w:hint="default" w:eastAsia="宋体"/>
                <w:sz w:val="24"/>
                <w:szCs w:val="24"/>
                <w:vertAlign w:val="baseline"/>
                <w:lang w:val="en-US" w:eastAsia="zh-CN"/>
              </w:rPr>
            </w:pPr>
            <w:r>
              <w:rPr>
                <w:rFonts w:hint="eastAsia"/>
                <w:sz w:val="24"/>
                <w:szCs w:val="24"/>
                <w:vertAlign w:val="baseline"/>
                <w:lang w:val="en-US" w:eastAsia="zh-CN"/>
              </w:rPr>
              <w:t>内部审计机构成员、被审计对象、董事长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default" w:eastAsia="宋体"/>
                <w:sz w:val="24"/>
                <w:szCs w:val="24"/>
                <w:vertAlign w:val="baseline"/>
                <w:lang w:val="en-US" w:eastAsia="zh-CN"/>
              </w:rPr>
            </w:pPr>
            <w:r>
              <w:rPr>
                <w:rFonts w:hint="eastAsia"/>
                <w:sz w:val="24"/>
                <w:szCs w:val="24"/>
                <w:vertAlign w:val="baseline"/>
                <w:lang w:val="en-US" w:eastAsia="zh-CN"/>
              </w:rPr>
              <w:t>后续整改阶段</w:t>
            </w:r>
          </w:p>
        </w:tc>
        <w:tc>
          <w:tcPr>
            <w:tcW w:w="5652" w:type="dxa"/>
            <w:vAlign w:val="center"/>
          </w:tcPr>
          <w:p>
            <w:pPr>
              <w:pStyle w:val="5"/>
              <w:ind w:left="0" w:leftChars="0" w:firstLine="0" w:firstLineChars="0"/>
              <w:rPr>
                <w:rFonts w:hint="default" w:eastAsia="宋体"/>
                <w:sz w:val="24"/>
                <w:szCs w:val="24"/>
                <w:vertAlign w:val="baseline"/>
                <w:lang w:val="en-US" w:eastAsia="zh-CN"/>
              </w:rPr>
            </w:pPr>
            <w:r>
              <w:rPr>
                <w:rFonts w:hint="eastAsia"/>
                <w:sz w:val="24"/>
                <w:szCs w:val="24"/>
                <w:vertAlign w:val="baseline"/>
                <w:lang w:val="en-US" w:eastAsia="zh-CN"/>
              </w:rPr>
              <w:t>被审计对象需每半年向集团报送尚未完成的审计整改事项落实情况，内部审计机构每年应将被审计对象整改情况向集团董事长报告。</w:t>
            </w:r>
          </w:p>
        </w:tc>
        <w:tc>
          <w:tcPr>
            <w:tcW w:w="1820" w:type="dxa"/>
            <w:vAlign w:val="center"/>
          </w:tcPr>
          <w:p>
            <w:pPr>
              <w:pStyle w:val="5"/>
              <w:ind w:left="0" w:leftChars="0" w:firstLine="0" w:firstLineChars="0"/>
              <w:rPr>
                <w:rFonts w:hint="default" w:eastAsia="宋体"/>
                <w:sz w:val="24"/>
                <w:szCs w:val="24"/>
                <w:vertAlign w:val="baseline"/>
                <w:lang w:val="en-US" w:eastAsia="zh-CN"/>
              </w:rPr>
            </w:pPr>
            <w:r>
              <w:rPr>
                <w:rFonts w:hint="eastAsia"/>
                <w:sz w:val="24"/>
                <w:szCs w:val="24"/>
                <w:vertAlign w:val="baseline"/>
                <w:lang w:val="en-US" w:eastAsia="zh-CN"/>
              </w:rPr>
              <w:t>内部审计机构成员、被审计对象、董事长</w:t>
            </w:r>
          </w:p>
        </w:tc>
      </w:tr>
    </w:tbl>
    <w:p>
      <w:pPr>
        <w:pStyle w:val="5"/>
      </w:pP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流程图</w:t>
      </w:r>
    </w:p>
    <w:p>
      <w:pPr>
        <w:pStyle w:val="17"/>
        <w:numPr>
          <w:ilvl w:val="0"/>
          <w:numId w:val="7"/>
        </w:numPr>
        <w:rPr>
          <w:rFonts w:hint="eastAsia" w:asciiTheme="minorEastAsia" w:hAnsiTheme="minorEastAsia" w:eastAsiaTheme="minorEastAsia"/>
          <w:b/>
          <w:sz w:val="24"/>
          <w:szCs w:val="24"/>
          <w:lang w:val="en-US" w:eastAsia="zh-CN"/>
        </w:rPr>
      </w:pPr>
      <w:r>
        <w:rPr>
          <w:rFonts w:hint="eastAsia" w:asciiTheme="minorEastAsia" w:hAnsiTheme="minorEastAsia" w:eastAsiaTheme="minorEastAsia"/>
          <w:b/>
          <w:sz w:val="24"/>
          <w:szCs w:val="24"/>
          <w:lang w:val="en-US" w:eastAsia="zh-CN"/>
        </w:rPr>
        <w:t>外部项目审计整改流程图</w:t>
      </w:r>
    </w:p>
    <w:p>
      <w:pPr>
        <w:pStyle w:val="5"/>
        <w:rPr>
          <w:rFonts w:hint="eastAsia"/>
          <w:lang w:val="en-US" w:eastAsia="zh-CN"/>
        </w:rPr>
      </w:pPr>
    </w:p>
    <w:p>
      <w:pPr>
        <w:pStyle w:val="5"/>
        <w:ind w:left="0" w:leftChars="0" w:firstLine="0" w:firstLineChars="0"/>
        <w:rPr>
          <w:rFonts w:ascii="宋体" w:hAnsi="宋体" w:eastAsia="宋体" w:cs="宋体"/>
          <w:sz w:val="24"/>
          <w:szCs w:val="24"/>
        </w:rPr>
      </w:pPr>
      <w:r>
        <w:rPr>
          <w:rFonts w:ascii="宋体" w:hAnsi="宋体" w:eastAsia="宋体" w:cs="宋体"/>
          <w:sz w:val="24"/>
          <w:szCs w:val="24"/>
        </w:rPr>
        <w:drawing>
          <wp:inline distT="0" distB="0" distL="114300" distR="114300">
            <wp:extent cx="5524500" cy="6793230"/>
            <wp:effectExtent l="0" t="0" r="0" b="0"/>
            <wp:docPr id="1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descr="IMG_256"/>
                    <pic:cNvPicPr>
                      <a:picLocks noChangeAspect="1"/>
                    </pic:cNvPicPr>
                  </pic:nvPicPr>
                  <pic:blipFill>
                    <a:blip r:embed="rId12"/>
                    <a:stretch>
                      <a:fillRect/>
                    </a:stretch>
                  </pic:blipFill>
                  <pic:spPr>
                    <a:xfrm>
                      <a:off x="0" y="0"/>
                      <a:ext cx="5524500" cy="6793230"/>
                    </a:xfrm>
                    <a:prstGeom prst="rect">
                      <a:avLst/>
                    </a:prstGeom>
                    <a:noFill/>
                    <a:ln w="9525">
                      <a:noFill/>
                    </a:ln>
                  </pic:spPr>
                </pic:pic>
              </a:graphicData>
            </a:graphic>
          </wp:inline>
        </w:drawing>
      </w:r>
    </w:p>
    <w:p>
      <w:pPr>
        <w:pStyle w:val="5"/>
        <w:ind w:left="0" w:leftChars="0" w:firstLine="0" w:firstLineChars="0"/>
        <w:rPr>
          <w:rFonts w:hint="default" w:ascii="宋体" w:hAnsi="宋体" w:eastAsia="宋体" w:cs="宋体"/>
          <w:b/>
          <w:bCs/>
          <w:sz w:val="24"/>
          <w:szCs w:val="24"/>
          <w:lang w:val="en-US" w:eastAsia="zh-CN"/>
        </w:rPr>
      </w:pPr>
      <w:r>
        <w:rPr>
          <w:rFonts w:hint="eastAsia" w:ascii="宋体" w:hAnsi="宋体" w:cs="宋体"/>
          <w:b/>
          <w:bCs/>
          <w:sz w:val="24"/>
          <w:szCs w:val="24"/>
          <w:lang w:val="en-US" w:eastAsia="zh-CN"/>
        </w:rPr>
        <w:t>流程说明：</w:t>
      </w:r>
    </w:p>
    <w:tbl>
      <w:tblPr>
        <w:tblStyle w:val="33"/>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72" w:type="dxa"/>
          <w:bottom w:w="0" w:type="dxa"/>
          <w:right w:w="72" w:type="dxa"/>
        </w:tblCellMar>
      </w:tblPr>
      <w:tblGrid>
        <w:gridCol w:w="1124"/>
        <w:gridCol w:w="1292"/>
        <w:gridCol w:w="1801"/>
        <w:gridCol w:w="1694"/>
        <w:gridCol w:w="722"/>
        <w:gridCol w:w="1074"/>
        <w:gridCol w:w="122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blHeader/>
        </w:trPr>
        <w:tc>
          <w:tcPr>
            <w:tcW w:w="5000" w:type="pct"/>
            <w:gridSpan w:val="7"/>
            <w:tcBorders>
              <w:top w:val="single" w:color="auto" w:sz="12" w:space="0"/>
              <w:left w:val="single" w:color="auto" w:sz="12" w:space="0"/>
              <w:bottom w:val="single" w:color="auto" w:sz="8" w:space="0"/>
              <w:right w:val="single" w:color="auto" w:sz="12" w:space="0"/>
            </w:tcBorders>
            <w:shd w:val="clear" w:color="auto" w:fill="EAEAEA"/>
            <w:vAlign w:val="center"/>
          </w:tcPr>
          <w:p>
            <w:pPr>
              <w:pStyle w:val="94"/>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流程编号：</w:t>
            </w:r>
            <w:r>
              <w:rPr>
                <w:rFonts w:hint="eastAsia" w:asciiTheme="minorEastAsia" w:hAnsiTheme="minorEastAsia" w:eastAsiaTheme="minorEastAsia" w:cstheme="minorEastAsia"/>
                <w:color w:val="000000"/>
                <w:sz w:val="21"/>
                <w:szCs w:val="21"/>
                <w:lang w:val="en-US" w:eastAsia="zh-CN"/>
              </w:rPr>
              <w:t>FP_ER_001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8" w:space="0"/>
              <w:right w:val="single" w:color="auto" w:sz="12" w:space="0"/>
            </w:tcBorders>
            <w:shd w:val="clear" w:color="auto" w:fill="EAEAEA"/>
            <w:vAlign w:val="center"/>
          </w:tcPr>
          <w:p>
            <w:pPr>
              <w:pStyle w:val="94"/>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流程名称：</w:t>
            </w:r>
            <w:r>
              <w:rPr>
                <w:rFonts w:hint="eastAsia" w:asciiTheme="minorEastAsia" w:hAnsiTheme="minorEastAsia" w:eastAsiaTheme="minorEastAsia" w:cstheme="minorEastAsia"/>
                <w:color w:val="000000"/>
                <w:sz w:val="21"/>
                <w:szCs w:val="21"/>
                <w:lang w:val="en-US" w:eastAsia="zh-CN"/>
              </w:rPr>
              <w:t>外部项目审计整改流程图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12" w:space="0"/>
              <w:right w:val="single" w:color="auto" w:sz="12" w:space="0"/>
            </w:tcBorders>
            <w:shd w:val="clear" w:color="auto" w:fill="EAEAEA"/>
            <w:vAlign w:val="center"/>
          </w:tcPr>
          <w:p>
            <w:pPr>
              <w:pStyle w:val="94"/>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流程版本：</w:t>
            </w:r>
            <w:r>
              <w:rPr>
                <w:rFonts w:hint="eastAsia" w:asciiTheme="minorEastAsia" w:hAnsiTheme="minorEastAsia" w:eastAsiaTheme="minorEastAsia" w:cstheme="minorEastAsia"/>
                <w:color w:val="000000"/>
                <w:sz w:val="21"/>
                <w:szCs w:val="21"/>
                <w:lang w:val="en-US" w:eastAsia="zh-CN"/>
              </w:rPr>
              <w:t>V1.0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630" w:type="pct"/>
            <w:tcBorders>
              <w:top w:val="single" w:color="auto" w:sz="12" w:space="0"/>
              <w:left w:val="single" w:color="auto" w:sz="12" w:space="0"/>
              <w:bottom w:val="single" w:color="auto" w:sz="6" w:space="0"/>
              <w:right w:val="single" w:color="auto" w:sz="6"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步骤编号</w:t>
            </w:r>
          </w:p>
        </w:tc>
        <w:tc>
          <w:tcPr>
            <w:tcW w:w="723"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步骤名称</w:t>
            </w:r>
          </w:p>
        </w:tc>
        <w:tc>
          <w:tcPr>
            <w:tcW w:w="1008"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业务过程描述</w:t>
            </w:r>
          </w:p>
        </w:tc>
        <w:tc>
          <w:tcPr>
            <w:tcW w:w="948"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责任部门/岗位</w:t>
            </w:r>
          </w:p>
        </w:tc>
        <w:tc>
          <w:tcPr>
            <w:tcW w:w="404"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处理方式</w:t>
            </w:r>
          </w:p>
        </w:tc>
        <w:tc>
          <w:tcPr>
            <w:tcW w:w="601"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输入文档</w:t>
            </w:r>
          </w:p>
        </w:tc>
        <w:tc>
          <w:tcPr>
            <w:tcW w:w="682" w:type="pct"/>
            <w:tcBorders>
              <w:top w:val="single" w:color="auto" w:sz="12" w:space="0"/>
              <w:left w:val="single" w:color="auto" w:sz="8" w:space="0"/>
              <w:bottom w:val="single" w:color="auto" w:sz="6" w:space="0"/>
              <w:right w:val="single" w:color="auto" w:sz="12"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输出文档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60" w:hRule="exact"/>
        </w:trPr>
        <w:tc>
          <w:tcPr>
            <w:tcW w:w="630" w:type="pct"/>
            <w:tcBorders>
              <w:top w:val="single" w:color="auto" w:sz="6" w:space="0"/>
              <w:left w:val="nil"/>
              <w:bottom w:val="single" w:color="auto" w:sz="6" w:space="0"/>
              <w:right w:val="single" w:color="auto" w:sz="6"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723"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1008"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948"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404"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601"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682" w:type="pct"/>
            <w:tcBorders>
              <w:top w:val="single" w:color="auto" w:sz="6" w:space="0"/>
              <w:left w:val="single" w:color="auto" w:sz="8" w:space="0"/>
              <w:bottom w:val="single" w:color="auto" w:sz="6" w:space="0"/>
              <w:right w:val="nil"/>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A1_01</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下发审计报告或审计整改通知</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下发审计报告或审计整改通知</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审计机关或上级单位</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线下处理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审计报告或审计整改通知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A1_02</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收悉并分解审计整改任务</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审计法务部收到审计报告后，移交办公室作收文处理，并分解审计整改任务</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rPr>
            </w:pPr>
            <w:r>
              <w:rPr>
                <w:rFonts w:hint="eastAsia" w:asciiTheme="minorEastAsia" w:hAnsiTheme="minorEastAsia" w:eastAsiaTheme="minorEastAsia" w:cstheme="minorEastAsia"/>
                <w:color w:val="000000"/>
                <w:sz w:val="21"/>
                <w:szCs w:val="21"/>
                <w:lang w:val="en-US" w:eastAsia="zh-CN"/>
              </w:rPr>
              <w:t>审计法务部</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审计报告或审计整改通知</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审计整改问题清单、任务清单、责任清单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A1_03</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部署整改任务</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由审计法务部组织会议部署审计整改任务</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审计整改通知书</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召开审计整改工作布置会的通知、做好审计整改工作的通知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A1_04</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编制整改工作方案</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相关部门或下属单位根据问题清单、任务清单、责任清单编制整改工作方案，并提请分管领导审批</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rPr>
            </w:pPr>
            <w:r>
              <w:rPr>
                <w:rFonts w:hint="eastAsia" w:asciiTheme="minorEastAsia" w:hAnsiTheme="minorEastAsia" w:eastAsiaTheme="minorEastAsia" w:cstheme="minorEastAsia"/>
                <w:color w:val="000000"/>
                <w:sz w:val="21"/>
                <w:szCs w:val="21"/>
                <w:lang w:val="en-US" w:eastAsia="zh-CN"/>
              </w:rPr>
              <w:t>相关部门/下属单位</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相关部门或下属单位审计整改工作方案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A1_05</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汇总编制整改工作方案</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由审计法务部汇总整改工作方案并提交至审计分管领导、总经理、董事长审批</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审计法务部</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相关部门或下属单位审计整改工作方案</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审计整改工作汇总方案、报送审计整改工作方案的内部签报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A1_06</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报送整改工作方案</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审计法务部报送审计整改工作方案给审计组</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审计整改工作汇总方案</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A1_07</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收悉</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审计组收到审计整改工作方案</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rPr>
            </w:pPr>
            <w:r>
              <w:rPr>
                <w:rFonts w:hint="eastAsia" w:asciiTheme="minorEastAsia" w:hAnsiTheme="minorEastAsia" w:eastAsiaTheme="minorEastAsia" w:cstheme="minorEastAsia"/>
                <w:color w:val="000000"/>
                <w:sz w:val="21"/>
                <w:szCs w:val="21"/>
                <w:lang w:val="en-US" w:eastAsia="zh-CN"/>
              </w:rPr>
              <w:t>审计机关/上级单位</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整改工作方案</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A1_08</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编制审计整改工作报告</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相关部门或下属单位开展整改并根据问题清单、任务清单、责任清单编制审计整改工作报告，并提请分管领导审批</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rPr>
            </w:pPr>
            <w:r>
              <w:rPr>
                <w:rFonts w:hint="eastAsia" w:asciiTheme="minorEastAsia" w:hAnsiTheme="minorEastAsia" w:eastAsiaTheme="minorEastAsia" w:cstheme="minorEastAsia"/>
                <w:color w:val="000000"/>
                <w:sz w:val="21"/>
                <w:szCs w:val="21"/>
                <w:lang w:val="en-US" w:eastAsia="zh-CN"/>
              </w:rPr>
              <w:t>相关部门/下属单位</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做好审计整改工作的通知</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相关部门或下属单位审计整改工作报告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A1_09</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汇总编制审计整改工作报告</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审计法务部汇总审计整改工作报告，并提请审计分管领导、总经理、董事长审批</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相关部门及下属单位审计整改工作报告</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审计整改工作汇总报告、报送审计整改工作报告内部签报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A1_10</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报送审计整改工作报告</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审计法务部将审计整改工作报告报送给审计组</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审计法务部</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审计整改工作报告</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A1_11</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收悉并反馈审核意见</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审计组收到审计整改工作报告并反馈意见</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审计机关/上级单位</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线下处理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审计整改工作报告</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整改审核反馈意见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A1_12</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收悉并分解整改任务</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审计法务部收到审计组反馈的意见并分解任务</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审计法务部</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整改审核反馈意见</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再次分解整改任务的支撑资料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A1_13</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整改并落实反馈意见</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由相关部门或下属单位开展整改并反馈意见</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相关部门或下属单位</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线下处理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整改审核反馈意见</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落实反馈意见的相关支撑资料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A1_14</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跟踪整改情况并下发整改通知</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审计法务部跟踪问题整改情况并下发整改通知</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未整改完成问题清单</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审计整改通知（非必须）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A1_15</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每半年落实/报送未整改完成事项整改情况</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相关部门或下属单位每半年报送审计整改工作报告，并提请分管领导、单位主要负责人审批</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相关部门或下属单位</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未整改完成问题清单</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相关部门或下属单位审计整改工作报告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A1_16</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汇总、审核编制审计整改工作报告</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审计法务部汇总并审核审计整改工作报告，并经审计分管领导、总经理、董事长审批</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相关部门或下属单位审计整改工作报告</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审计整改工作汇总报告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A1_17</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报送审计整改工作报告</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审计法务部将审计整改工作报告报送给审计组</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线下处理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审计整改工作报告</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整改审核意见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A1_18</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收悉并反馈审核意见</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审计组收到审计整改工作报告并反馈审核意见，至全部问题销号</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审计机关/上级单位</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线下处理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整改审核意见</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继续落实整改的相关支撑资料</w:t>
            </w:r>
          </w:p>
        </w:tc>
      </w:tr>
    </w:tbl>
    <w:p>
      <w:pPr>
        <w:pStyle w:val="17"/>
        <w:numPr>
          <w:ilvl w:val="0"/>
          <w:numId w:val="0"/>
        </w:numPr>
        <w:rPr>
          <w:rFonts w:hint="eastAsia" w:asciiTheme="minorEastAsia" w:hAnsiTheme="minorEastAsia" w:eastAsiaTheme="minorEastAsia"/>
          <w:b/>
          <w:sz w:val="24"/>
          <w:szCs w:val="24"/>
          <w:lang w:val="en-US" w:eastAsia="zh-CN"/>
        </w:rPr>
      </w:pPr>
    </w:p>
    <w:p>
      <w:pPr>
        <w:pStyle w:val="17"/>
        <w:numPr>
          <w:ilvl w:val="0"/>
          <w:numId w:val="7"/>
        </w:numPr>
        <w:rPr>
          <w:rFonts w:hint="eastAsia" w:asciiTheme="minorEastAsia" w:hAnsiTheme="minorEastAsia" w:eastAsiaTheme="minorEastAsia"/>
          <w:b/>
          <w:sz w:val="24"/>
          <w:szCs w:val="24"/>
          <w:lang w:val="en-US" w:eastAsia="zh-CN"/>
        </w:rPr>
      </w:pPr>
      <w:r>
        <w:rPr>
          <w:rFonts w:hint="eastAsia" w:asciiTheme="minorEastAsia" w:hAnsiTheme="minorEastAsia" w:eastAsiaTheme="minorEastAsia"/>
          <w:b/>
          <w:sz w:val="24"/>
          <w:szCs w:val="24"/>
          <w:lang w:val="en-US" w:eastAsia="zh-CN"/>
        </w:rPr>
        <w:t>内部项目审计整改流程图</w:t>
      </w:r>
    </w:p>
    <w:p>
      <w:pPr>
        <w:pStyle w:val="17"/>
        <w:numPr>
          <w:ilvl w:val="0"/>
          <w:numId w:val="0"/>
        </w:numPr>
        <w:rPr>
          <w:rFonts w:ascii="宋体" w:hAnsi="宋体" w:eastAsia="宋体" w:cs="宋体"/>
          <w:sz w:val="24"/>
          <w:szCs w:val="24"/>
        </w:rPr>
      </w:pPr>
      <w:r>
        <w:rPr>
          <w:rFonts w:ascii="宋体" w:hAnsi="宋体" w:eastAsia="宋体" w:cs="宋体"/>
          <w:sz w:val="24"/>
          <w:szCs w:val="24"/>
        </w:rPr>
        <w:drawing>
          <wp:inline distT="0" distB="0" distL="114300" distR="114300">
            <wp:extent cx="5652135" cy="6473190"/>
            <wp:effectExtent l="0" t="0" r="0" b="0"/>
            <wp:docPr id="13"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descr="IMG_256"/>
                    <pic:cNvPicPr>
                      <a:picLocks noChangeAspect="1"/>
                    </pic:cNvPicPr>
                  </pic:nvPicPr>
                  <pic:blipFill>
                    <a:blip r:embed="rId13"/>
                    <a:stretch>
                      <a:fillRect/>
                    </a:stretch>
                  </pic:blipFill>
                  <pic:spPr>
                    <a:xfrm>
                      <a:off x="0" y="0"/>
                      <a:ext cx="5652135" cy="6473190"/>
                    </a:xfrm>
                    <a:prstGeom prst="rect">
                      <a:avLst/>
                    </a:prstGeom>
                    <a:noFill/>
                    <a:ln w="9525">
                      <a:noFill/>
                    </a:ln>
                  </pic:spPr>
                </pic:pic>
              </a:graphicData>
            </a:graphic>
          </wp:inline>
        </w:drawing>
      </w:r>
    </w:p>
    <w:p>
      <w:pPr>
        <w:pStyle w:val="17"/>
        <w:numPr>
          <w:ilvl w:val="0"/>
          <w:numId w:val="0"/>
        </w:numPr>
        <w:rPr>
          <w:rFonts w:hint="default" w:ascii="宋体" w:hAnsi="宋体" w:eastAsia="宋体" w:cs="宋体"/>
          <w:b/>
          <w:bCs/>
          <w:sz w:val="24"/>
          <w:szCs w:val="24"/>
          <w:lang w:val="en-US" w:eastAsia="zh-CN"/>
        </w:rPr>
      </w:pPr>
      <w:r>
        <w:rPr>
          <w:rFonts w:hint="eastAsia" w:ascii="宋体" w:hAnsi="宋体" w:cs="宋体"/>
          <w:b/>
          <w:bCs/>
          <w:sz w:val="24"/>
          <w:szCs w:val="24"/>
          <w:lang w:val="en-US" w:eastAsia="zh-CN"/>
        </w:rPr>
        <w:t>流程说明：</w:t>
      </w:r>
    </w:p>
    <w:tbl>
      <w:tblPr>
        <w:tblStyle w:val="33"/>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72" w:type="dxa"/>
          <w:bottom w:w="0" w:type="dxa"/>
          <w:right w:w="72" w:type="dxa"/>
        </w:tblCellMar>
      </w:tblPr>
      <w:tblGrid>
        <w:gridCol w:w="1127"/>
        <w:gridCol w:w="1292"/>
        <w:gridCol w:w="1801"/>
        <w:gridCol w:w="1695"/>
        <w:gridCol w:w="723"/>
        <w:gridCol w:w="1074"/>
        <w:gridCol w:w="12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12" w:space="0"/>
              <w:left w:val="single" w:color="auto" w:sz="12" w:space="0"/>
              <w:bottom w:val="single" w:color="auto" w:sz="8" w:space="0"/>
              <w:right w:val="single" w:color="auto" w:sz="12" w:space="0"/>
            </w:tcBorders>
            <w:shd w:val="clear" w:color="auto" w:fill="EAEAEA"/>
            <w:vAlign w:val="center"/>
          </w:tcPr>
          <w:p>
            <w:pPr>
              <w:pStyle w:val="94"/>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流程编号：</w:t>
            </w:r>
            <w:r>
              <w:rPr>
                <w:rFonts w:hint="eastAsia" w:asciiTheme="minorEastAsia" w:hAnsiTheme="minorEastAsia" w:eastAsiaTheme="minorEastAsia" w:cstheme="minorEastAsia"/>
                <w:color w:val="000000"/>
                <w:sz w:val="21"/>
                <w:szCs w:val="21"/>
                <w:lang w:val="en-US" w:eastAsia="zh-CN"/>
              </w:rPr>
              <w:t>FP_IR_001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8" w:space="0"/>
              <w:right w:val="single" w:color="auto" w:sz="12" w:space="0"/>
            </w:tcBorders>
            <w:shd w:val="clear" w:color="auto" w:fill="EAEAEA"/>
            <w:vAlign w:val="center"/>
          </w:tcPr>
          <w:p>
            <w:pPr>
              <w:pStyle w:val="94"/>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流程名称：</w:t>
            </w:r>
            <w:r>
              <w:rPr>
                <w:rFonts w:hint="eastAsia" w:asciiTheme="minorEastAsia" w:hAnsiTheme="minorEastAsia" w:eastAsiaTheme="minorEastAsia" w:cstheme="minorEastAsia"/>
                <w:color w:val="000000"/>
                <w:sz w:val="21"/>
                <w:szCs w:val="21"/>
                <w:lang w:val="en-US" w:eastAsia="zh-CN"/>
              </w:rPr>
              <w:t>内部项目审计整改流程图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12" w:space="0"/>
              <w:right w:val="single" w:color="auto" w:sz="12" w:space="0"/>
            </w:tcBorders>
            <w:shd w:val="clear" w:color="auto" w:fill="EAEAEA"/>
            <w:vAlign w:val="center"/>
          </w:tcPr>
          <w:p>
            <w:pPr>
              <w:pStyle w:val="94"/>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流程版本：</w:t>
            </w:r>
            <w:r>
              <w:rPr>
                <w:rFonts w:hint="eastAsia" w:asciiTheme="minorEastAsia" w:hAnsiTheme="minorEastAsia" w:eastAsiaTheme="minorEastAsia" w:cstheme="minorEastAsia"/>
                <w:color w:val="000000"/>
                <w:sz w:val="21"/>
                <w:szCs w:val="21"/>
                <w:lang w:val="en-US" w:eastAsia="zh-CN"/>
              </w:rPr>
              <w:t>V1.0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631" w:type="pct"/>
            <w:tcBorders>
              <w:top w:val="single" w:color="auto" w:sz="12" w:space="0"/>
              <w:left w:val="single" w:color="auto" w:sz="12" w:space="0"/>
              <w:bottom w:val="single" w:color="auto" w:sz="6" w:space="0"/>
              <w:right w:val="single" w:color="auto" w:sz="6"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步骤编号</w:t>
            </w:r>
          </w:p>
        </w:tc>
        <w:tc>
          <w:tcPr>
            <w:tcW w:w="723"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步骤名称</w:t>
            </w:r>
          </w:p>
        </w:tc>
        <w:tc>
          <w:tcPr>
            <w:tcW w:w="1008"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业务过程描述</w:t>
            </w:r>
          </w:p>
        </w:tc>
        <w:tc>
          <w:tcPr>
            <w:tcW w:w="949"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责任部门/岗位</w:t>
            </w:r>
          </w:p>
        </w:tc>
        <w:tc>
          <w:tcPr>
            <w:tcW w:w="405"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处理方式</w:t>
            </w:r>
          </w:p>
        </w:tc>
        <w:tc>
          <w:tcPr>
            <w:tcW w:w="601"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输入文档</w:t>
            </w:r>
          </w:p>
        </w:tc>
        <w:tc>
          <w:tcPr>
            <w:tcW w:w="678" w:type="pct"/>
            <w:tcBorders>
              <w:top w:val="single" w:color="auto" w:sz="12" w:space="0"/>
              <w:left w:val="single" w:color="auto" w:sz="8" w:space="0"/>
              <w:bottom w:val="single" w:color="auto" w:sz="6" w:space="0"/>
              <w:right w:val="single" w:color="auto" w:sz="12"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输出文档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60" w:hRule="exact"/>
        </w:trPr>
        <w:tc>
          <w:tcPr>
            <w:tcW w:w="631" w:type="pct"/>
            <w:tcBorders>
              <w:top w:val="single" w:color="auto" w:sz="6" w:space="0"/>
              <w:left w:val="nil"/>
              <w:bottom w:val="single" w:color="auto" w:sz="6" w:space="0"/>
              <w:right w:val="single" w:color="auto" w:sz="6"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723"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1008"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949"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405"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601"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678" w:type="pct"/>
            <w:tcBorders>
              <w:top w:val="single" w:color="auto" w:sz="6" w:space="0"/>
              <w:left w:val="single" w:color="auto" w:sz="8" w:space="0"/>
              <w:bottom w:val="single" w:color="auto" w:sz="6" w:space="0"/>
              <w:right w:val="nil"/>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A1_01</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编制审核审计整改通知书</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由审计法务部审计人员编制审计整改通知书，经分管领导、总经理审核后由董事长签发</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审计整改通知书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A1_02</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收悉</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被审计对象收悉审计整改通知书并反馈</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rPr>
            </w:pPr>
            <w:r>
              <w:rPr>
                <w:rFonts w:hint="eastAsia" w:asciiTheme="minorEastAsia" w:hAnsiTheme="minorEastAsia" w:eastAsiaTheme="minorEastAsia" w:cstheme="minorEastAsia"/>
                <w:color w:val="000000"/>
                <w:sz w:val="21"/>
                <w:szCs w:val="21"/>
                <w:lang w:val="en-US" w:eastAsia="zh-CN"/>
              </w:rPr>
              <w:t>被审计对象</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审计通知书</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回执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A1_03</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报送审计整改工作方案</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由被审计对象报送整改工作方案</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被审计对象</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审计整改工作方案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A1_04</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收悉</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审计法务部收到被审计对象提交的审计整改工作方案</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审计整改工作方案</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A1_05</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报送审计整改报告</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被审计对象报送审计整改工作报告</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rPr>
            </w:pPr>
            <w:r>
              <w:rPr>
                <w:rFonts w:hint="eastAsia" w:asciiTheme="minorEastAsia" w:hAnsiTheme="minorEastAsia" w:eastAsiaTheme="minorEastAsia" w:cstheme="minorEastAsia"/>
                <w:color w:val="000000"/>
                <w:sz w:val="21"/>
                <w:szCs w:val="21"/>
                <w:lang w:val="en-US" w:eastAsia="zh-CN"/>
              </w:rPr>
              <w:t>被审计对象</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审计整改工作报告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A1_06</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分解整改审核事项</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审计法务部审计人员审核并分解整改事项，提请相关业务部门审核，业务部门需提请分管领导审批</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审计法务部、相关业务部门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审计整改工作报告</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相关部门整改事项的审核意见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A1_07</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汇总、研判审核意见</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审计法务部汇总审核意见，并提交至审计分管领导、总经理、董事长审批</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相关部门整改事项的审核意见</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关于审计整改情况报告的内部签报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A1_08</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反馈审核意见</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审计法务部反馈审核意见</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关于审计整改情况报告的内部签报</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意见反馈情况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A1_09</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知悉并整改</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被审计对象收到反馈的审核意见并开展问题整改</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被审计对象</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审核意见</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整改相关支撑资料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A1_10</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跟踪整改情况</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审计法务部跟踪问题整改完成情况</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未整改完成问题清单</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A1_11</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每半年报送未整改完成事项整改情况</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被审计对象每半年报送未整改完成事项的整改工作完成情况，提请相关部门及分管领导审核</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rPr>
            </w:pPr>
            <w:r>
              <w:rPr>
                <w:rFonts w:hint="eastAsia" w:asciiTheme="minorEastAsia" w:hAnsiTheme="minorEastAsia" w:eastAsiaTheme="minorEastAsia" w:cstheme="minorEastAsia"/>
                <w:color w:val="000000"/>
                <w:sz w:val="21"/>
                <w:szCs w:val="21"/>
                <w:lang w:val="en-US" w:eastAsia="zh-CN"/>
              </w:rPr>
              <w:t>被审计对象</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未整改完成问题清单</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审计整改工作报告、审计整改事项审核情况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A1_12</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汇总、研判及反馈审核意见</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审计法务部汇总审计整改审核情况，经审计分管领导、总经理、董事长审批，至全部问题销号</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审计整改工作报告</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关于审计整改情况报告的内部签报，反馈审核意见</w:t>
            </w:r>
          </w:p>
        </w:tc>
      </w:tr>
    </w:tbl>
    <w:p>
      <w:pPr>
        <w:pStyle w:val="17"/>
        <w:numPr>
          <w:ilvl w:val="0"/>
          <w:numId w:val="0"/>
        </w:numPr>
        <w:rPr>
          <w:rFonts w:hint="eastAsia" w:asciiTheme="minorEastAsia" w:hAnsiTheme="minorEastAsia" w:eastAsiaTheme="minorEastAsia"/>
          <w:b/>
          <w:sz w:val="24"/>
          <w:szCs w:val="24"/>
          <w:lang w:val="en-US" w:eastAsia="zh-CN"/>
        </w:rPr>
      </w:pP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用户业务需求</w:t>
      </w:r>
    </w:p>
    <w:tbl>
      <w:tblPr>
        <w:tblStyle w:val="33"/>
        <w:tblW w:w="89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72" w:type="dxa"/>
          <w:bottom w:w="0" w:type="dxa"/>
          <w:right w:w="72" w:type="dxa"/>
        </w:tblCellMar>
      </w:tblPr>
      <w:tblGrid>
        <w:gridCol w:w="10"/>
        <w:gridCol w:w="1283"/>
        <w:gridCol w:w="10"/>
        <w:gridCol w:w="7629"/>
        <w:gridCol w:w="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0" w:type="dxa"/>
          <w:tblHeader/>
        </w:trPr>
        <w:tc>
          <w:tcPr>
            <w:tcW w:w="1293" w:type="dxa"/>
            <w:gridSpan w:val="2"/>
            <w:shd w:val="clear" w:color="auto" w:fill="EAEAEA"/>
          </w:tcPr>
          <w:p>
            <w:pPr>
              <w:pStyle w:val="94"/>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需求编号</w:t>
            </w:r>
          </w:p>
        </w:tc>
        <w:tc>
          <w:tcPr>
            <w:tcW w:w="7639" w:type="dxa"/>
            <w:gridSpan w:val="2"/>
            <w:shd w:val="clear" w:color="auto" w:fill="EAEAEA"/>
          </w:tcPr>
          <w:p>
            <w:pPr>
              <w:pStyle w:val="94"/>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需求详细描述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rPr>
          <w:gridAfter w:val="1"/>
          <w:wAfter w:w="10" w:type="dxa"/>
          <w:trHeight w:val="60" w:hRule="exact"/>
        </w:trPr>
        <w:tc>
          <w:tcPr>
            <w:tcW w:w="1293" w:type="dxa"/>
            <w:gridSpan w:val="2"/>
            <w:shd w:val="pct50" w:color="auto" w:fill="auto"/>
          </w:tcPr>
          <w:p>
            <w:pPr>
              <w:pStyle w:val="93"/>
              <w:spacing w:line="360" w:lineRule="auto"/>
              <w:rPr>
                <w:rFonts w:asciiTheme="minorEastAsia" w:hAnsiTheme="minorEastAsia" w:eastAsiaTheme="minorEastAsia"/>
                <w:color w:val="000000"/>
                <w:sz w:val="24"/>
                <w:szCs w:val="24"/>
              </w:rPr>
            </w:pPr>
          </w:p>
        </w:tc>
        <w:tc>
          <w:tcPr>
            <w:tcW w:w="7639" w:type="dxa"/>
            <w:gridSpan w:val="2"/>
            <w:shd w:val="pct50" w:color="auto" w:fill="auto"/>
          </w:tcPr>
          <w:p>
            <w:pPr>
              <w:pStyle w:val="93"/>
              <w:spacing w:line="360" w:lineRule="auto"/>
              <w:rPr>
                <w:rFonts w:asciiTheme="minorEastAsia" w:hAnsiTheme="minorEastAsia" w:eastAsia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rPr>
          <w:gridBefore w:val="1"/>
          <w:wBefore w:w="10" w:type="dxa"/>
        </w:trPr>
        <w:tc>
          <w:tcPr>
            <w:tcW w:w="1293" w:type="dxa"/>
            <w:gridSpan w:val="2"/>
            <w:vAlign w:val="center"/>
          </w:tcPr>
          <w:p>
            <w:pPr>
              <w:pStyle w:val="93"/>
              <w:spacing w:line="360" w:lineRule="auto"/>
              <w:jc w:val="center"/>
              <w:rPr>
                <w:rFonts w:asciiTheme="minorEastAsia" w:hAnsiTheme="minorEastAsia" w:eastAsiaTheme="minorEastAsia"/>
                <w:color w:val="000000"/>
                <w:sz w:val="24"/>
                <w:szCs w:val="24"/>
              </w:rPr>
            </w:pPr>
            <w:r>
              <w:rPr>
                <w:rFonts w:asciiTheme="minorEastAsia" w:hAnsiTheme="minorEastAsia" w:eastAsiaTheme="minorEastAsia"/>
                <w:color w:val="000000"/>
                <w:sz w:val="24"/>
                <w:szCs w:val="24"/>
              </w:rPr>
              <w:t>1</w:t>
            </w:r>
          </w:p>
        </w:tc>
        <w:tc>
          <w:tcPr>
            <w:tcW w:w="7639" w:type="dxa"/>
            <w:gridSpan w:val="2"/>
          </w:tcPr>
          <w:p>
            <w:pPr>
              <w:pStyle w:val="93"/>
              <w:spacing w:line="360" w:lineRule="auto"/>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lang w:val="en-US" w:eastAsia="zh-CN"/>
              </w:rPr>
              <w:t>实现审计整改工作全流程管理</w:t>
            </w:r>
            <w:r>
              <w:rPr>
                <w:rFonts w:hint="eastAsia" w:asciiTheme="minorEastAsia" w:hAnsiTheme="minorEastAsia" w:eastAsiaTheme="minorEastAsia"/>
                <w:color w:val="000000"/>
                <w:sz w:val="24"/>
                <w:szCs w:val="24"/>
              </w:rPr>
              <w:t>，</w:t>
            </w:r>
            <w:r>
              <w:rPr>
                <w:rFonts w:hint="eastAsia" w:asciiTheme="minorEastAsia" w:hAnsiTheme="minorEastAsia" w:eastAsiaTheme="minorEastAsia"/>
                <w:color w:val="000000"/>
                <w:sz w:val="24"/>
                <w:szCs w:val="24"/>
                <w:lang w:val="en-US" w:eastAsia="zh-CN"/>
              </w:rPr>
              <w:t>记录、跟踪审计整改任务的完成情况，形成整改工作的报告，</w:t>
            </w:r>
            <w:r>
              <w:rPr>
                <w:rFonts w:hint="eastAsia" w:asciiTheme="minorEastAsia" w:hAnsiTheme="minorEastAsia" w:eastAsiaTheme="minorEastAsia"/>
                <w:color w:val="000000"/>
                <w:sz w:val="24"/>
                <w:szCs w:val="24"/>
              </w:rPr>
              <w:t>能够</w:t>
            </w:r>
            <w:r>
              <w:rPr>
                <w:rFonts w:hint="eastAsia" w:asciiTheme="minorEastAsia" w:hAnsiTheme="minorEastAsia" w:eastAsiaTheme="minorEastAsia"/>
                <w:color w:val="000000"/>
                <w:sz w:val="24"/>
                <w:szCs w:val="24"/>
                <w:lang w:val="en-US" w:eastAsia="zh-CN"/>
              </w:rPr>
              <w:t>实时</w:t>
            </w:r>
            <w:r>
              <w:rPr>
                <w:rFonts w:hint="eastAsia" w:asciiTheme="minorEastAsia" w:hAnsiTheme="minorEastAsia" w:eastAsiaTheme="minorEastAsia"/>
                <w:color w:val="000000"/>
                <w:sz w:val="24"/>
                <w:szCs w:val="24"/>
              </w:rPr>
              <w:t>获取整改</w:t>
            </w:r>
            <w:r>
              <w:rPr>
                <w:rFonts w:hint="eastAsia" w:asciiTheme="minorEastAsia" w:hAnsiTheme="minorEastAsia" w:eastAsiaTheme="minorEastAsia"/>
                <w:color w:val="000000"/>
                <w:sz w:val="24"/>
                <w:szCs w:val="24"/>
                <w:lang w:val="en-US" w:eastAsia="zh-CN"/>
              </w:rPr>
              <w:t>工作</w:t>
            </w:r>
            <w:r>
              <w:rPr>
                <w:rFonts w:hint="eastAsia" w:asciiTheme="minorEastAsia" w:hAnsiTheme="minorEastAsia" w:eastAsiaTheme="minorEastAsia"/>
                <w:color w:val="000000"/>
                <w:sz w:val="24"/>
                <w:szCs w:val="24"/>
              </w:rPr>
              <w:t>报告和</w:t>
            </w:r>
            <w:r>
              <w:rPr>
                <w:rFonts w:hint="eastAsia" w:asciiTheme="minorEastAsia" w:hAnsiTheme="minorEastAsia" w:eastAsiaTheme="minorEastAsia"/>
                <w:color w:val="000000"/>
                <w:sz w:val="24"/>
                <w:szCs w:val="24"/>
                <w:lang w:val="en-US" w:eastAsia="zh-CN"/>
              </w:rPr>
              <w:t>需整改问题</w:t>
            </w:r>
            <w:r>
              <w:rPr>
                <w:rFonts w:hint="eastAsia" w:asciiTheme="minorEastAsia" w:hAnsiTheme="minorEastAsia" w:eastAsiaTheme="minorEastAsia"/>
                <w:color w:val="000000"/>
                <w:sz w:val="24"/>
                <w:szCs w:val="24"/>
              </w:rPr>
              <w:t>汇总信息，了解整改工作的总体情况；能够对整改工作进行评估和反馈，以提供支持和指导；能够获取整改工作的统计和报表。</w:t>
            </w:r>
          </w:p>
        </w:tc>
      </w:tr>
    </w:tbl>
    <w:p>
      <w:pPr>
        <w:pStyle w:val="5"/>
        <w:rPr>
          <w:rFonts w:hint="eastAsia"/>
          <w:lang w:val="en-US" w:eastAsia="zh-CN"/>
        </w:rPr>
      </w:pPr>
    </w:p>
    <w:p>
      <w:pPr>
        <w:pStyle w:val="6"/>
        <w:rPr>
          <w:rFonts w:hint="eastAsia" w:cs="Times New Roman" w:asciiTheme="minorEastAsia" w:hAnsiTheme="minorEastAsia" w:eastAsiaTheme="minorEastAsia"/>
          <w:b/>
          <w:bCs/>
          <w:kern w:val="2"/>
          <w:sz w:val="24"/>
          <w:szCs w:val="24"/>
          <w:lang w:val="en-US" w:eastAsia="zh-CN" w:bidi="ar-SA"/>
        </w:rPr>
      </w:pPr>
      <w:bookmarkStart w:id="18" w:name="_Toc7637"/>
      <w:r>
        <w:rPr>
          <w:rFonts w:hint="eastAsia" w:cs="Times New Roman" w:asciiTheme="minorEastAsia" w:hAnsiTheme="minorEastAsia" w:eastAsiaTheme="minorEastAsia"/>
          <w:b/>
          <w:bCs/>
          <w:kern w:val="2"/>
          <w:sz w:val="24"/>
          <w:szCs w:val="24"/>
          <w:lang w:val="en-US" w:eastAsia="zh-CN" w:bidi="ar-SA"/>
        </w:rPr>
        <w:t>审计档案管理</w:t>
      </w:r>
      <w:bookmarkEnd w:id="18"/>
    </w:p>
    <w:p>
      <w:pPr>
        <w:pStyle w:val="7"/>
      </w:pPr>
      <w:bookmarkStart w:id="19" w:name="_Toc8520"/>
      <w:r>
        <w:rPr>
          <w:rFonts w:hint="eastAsia"/>
          <w:lang w:val="en-US" w:eastAsia="zh-CN"/>
        </w:rPr>
        <w:t>业务状况</w:t>
      </w:r>
      <w:bookmarkEnd w:id="19"/>
    </w:p>
    <w:p>
      <w:pPr>
        <w:pStyle w:val="17"/>
        <w:spacing w:line="360" w:lineRule="auto"/>
        <w:ind w:firstLine="480" w:firstLineChars="200"/>
        <w:rPr>
          <w:rFonts w:hint="eastAsia"/>
          <w:sz w:val="24"/>
          <w:szCs w:val="24"/>
          <w:lang w:val="en-US" w:eastAsia="zh-CN"/>
        </w:rPr>
      </w:pPr>
      <w:r>
        <w:rPr>
          <w:rFonts w:hint="eastAsia"/>
          <w:sz w:val="24"/>
          <w:szCs w:val="24"/>
          <w:lang w:val="en-US" w:eastAsia="zh-CN"/>
        </w:rPr>
        <w:t>审计档案管理应包含审计方案、审计通知书、审计工作底稿、调查取证材料、审计报告（征求意见稿、送审稿）、被审计对象书面意见、审计整改情况等其他文件资料。</w:t>
      </w:r>
    </w:p>
    <w:p>
      <w:pPr>
        <w:pStyle w:val="17"/>
        <w:spacing w:line="360" w:lineRule="auto"/>
        <w:ind w:firstLine="480" w:firstLineChars="200"/>
        <w:rPr>
          <w:rFonts w:hint="default"/>
          <w:lang w:val="en-US" w:eastAsia="zh-CN"/>
        </w:rPr>
      </w:pPr>
      <w:r>
        <w:rPr>
          <w:rFonts w:hint="eastAsia"/>
          <w:sz w:val="24"/>
          <w:szCs w:val="24"/>
          <w:lang w:val="en-US" w:eastAsia="zh-CN"/>
        </w:rPr>
        <w:t>项目审计实施结束后，按照文件资料性质、项目或部门进行分类、分卷的原则进行归类整理。当前审计档案管理主要是通过传统纸质模式进行管理，不便于检索、查询。</w:t>
      </w:r>
    </w:p>
    <w:p>
      <w:pPr>
        <w:pStyle w:val="7"/>
        <w:rPr>
          <w:rFonts w:hint="eastAsia" w:ascii="Times New Roman" w:hAnsi="Times New Roman" w:eastAsia="宋体" w:cs="Times New Roman"/>
          <w:b/>
          <w:bCs/>
          <w:kern w:val="2"/>
          <w:sz w:val="24"/>
          <w:szCs w:val="24"/>
          <w:lang w:val="en-US" w:eastAsia="zh-CN" w:bidi="ar-SA"/>
        </w:rPr>
      </w:pPr>
      <w:bookmarkStart w:id="20" w:name="_Toc7165"/>
      <w:r>
        <w:rPr>
          <w:rFonts w:hint="eastAsia" w:cs="Times New Roman"/>
          <w:b/>
          <w:bCs/>
          <w:kern w:val="2"/>
          <w:sz w:val="24"/>
          <w:szCs w:val="24"/>
          <w:lang w:val="en-US" w:eastAsia="zh-CN" w:bidi="ar-SA"/>
        </w:rPr>
        <w:t>业务基本需求</w:t>
      </w:r>
      <w:bookmarkEnd w:id="20"/>
    </w:p>
    <w:p>
      <w:pPr>
        <w:pStyle w:val="17"/>
        <w:spacing w:line="360" w:lineRule="auto"/>
        <w:ind w:firstLine="480" w:firstLineChars="200"/>
        <w:rPr>
          <w:sz w:val="24"/>
          <w:szCs w:val="24"/>
        </w:rPr>
      </w:pPr>
      <w:r>
        <w:rPr>
          <w:rFonts w:hint="eastAsia"/>
          <w:sz w:val="24"/>
          <w:szCs w:val="24"/>
          <w:lang w:val="en-US" w:eastAsia="zh-CN"/>
        </w:rPr>
        <w:t>1.实现</w:t>
      </w:r>
      <w:r>
        <w:rPr>
          <w:rFonts w:hint="eastAsia"/>
          <w:sz w:val="24"/>
          <w:szCs w:val="24"/>
        </w:rPr>
        <w:t>项目信息记录</w:t>
      </w:r>
      <w:r>
        <w:rPr>
          <w:rFonts w:hint="eastAsia"/>
          <w:sz w:val="24"/>
          <w:szCs w:val="24"/>
          <w:lang w:val="en-US" w:eastAsia="zh-CN"/>
        </w:rPr>
        <w:t>管理，审计项目</w:t>
      </w:r>
      <w:r>
        <w:rPr>
          <w:rFonts w:hint="eastAsia"/>
          <w:sz w:val="24"/>
          <w:szCs w:val="24"/>
        </w:rPr>
        <w:t>台账需要能够记录审计项目的基本信息，如项目名称、编号、审计类型、</w:t>
      </w:r>
      <w:r>
        <w:rPr>
          <w:rFonts w:hint="eastAsia"/>
          <w:sz w:val="24"/>
          <w:szCs w:val="24"/>
          <w:lang w:val="en-US" w:eastAsia="zh-CN"/>
        </w:rPr>
        <w:t>审计实施</w:t>
      </w:r>
      <w:r>
        <w:rPr>
          <w:rFonts w:hint="eastAsia"/>
          <w:sz w:val="24"/>
          <w:szCs w:val="24"/>
        </w:rPr>
        <w:t>时间、</w:t>
      </w:r>
      <w:r>
        <w:rPr>
          <w:rFonts w:hint="eastAsia"/>
          <w:sz w:val="24"/>
          <w:szCs w:val="24"/>
          <w:lang w:val="en-US" w:eastAsia="zh-CN"/>
        </w:rPr>
        <w:t>被</w:t>
      </w:r>
      <w:r>
        <w:rPr>
          <w:rFonts w:hint="eastAsia"/>
          <w:sz w:val="24"/>
          <w:szCs w:val="24"/>
        </w:rPr>
        <w:t>审计对象等，以便对项目进行唯一标识和分类管理。</w:t>
      </w:r>
    </w:p>
    <w:p>
      <w:pPr>
        <w:pStyle w:val="17"/>
        <w:spacing w:line="360" w:lineRule="auto"/>
        <w:ind w:firstLine="480" w:firstLineChars="200"/>
        <w:rPr>
          <w:rFonts w:hint="eastAsia"/>
          <w:sz w:val="24"/>
          <w:szCs w:val="24"/>
        </w:rPr>
      </w:pPr>
      <w:r>
        <w:rPr>
          <w:rFonts w:hint="eastAsia"/>
          <w:sz w:val="24"/>
          <w:szCs w:val="24"/>
          <w:lang w:val="en-US" w:eastAsia="zh-CN"/>
        </w:rPr>
        <w:t>2.实现</w:t>
      </w:r>
      <w:r>
        <w:rPr>
          <w:rFonts w:hint="eastAsia"/>
          <w:sz w:val="24"/>
          <w:szCs w:val="24"/>
        </w:rPr>
        <w:t>项目状态跟踪</w:t>
      </w:r>
      <w:r>
        <w:rPr>
          <w:rFonts w:hint="eastAsia"/>
          <w:sz w:val="24"/>
          <w:szCs w:val="24"/>
          <w:lang w:val="en-US" w:eastAsia="zh-CN"/>
        </w:rPr>
        <w:t>管理，审计项目</w:t>
      </w:r>
      <w:r>
        <w:rPr>
          <w:rFonts w:hint="eastAsia"/>
          <w:sz w:val="24"/>
          <w:szCs w:val="24"/>
        </w:rPr>
        <w:t>台账应该能够实时跟踪和更新审计项目的状态，包括项目的进展、当前阶段等，以便审计管理人员和相关参与人员了解项目的整体进展情况。</w:t>
      </w:r>
    </w:p>
    <w:p>
      <w:pPr>
        <w:pStyle w:val="17"/>
        <w:spacing w:line="360" w:lineRule="auto"/>
        <w:ind w:firstLine="480" w:firstLineChars="200"/>
        <w:rPr>
          <w:rFonts w:hint="default" w:eastAsia="宋体"/>
          <w:sz w:val="24"/>
          <w:szCs w:val="24"/>
          <w:lang w:val="en-US" w:eastAsia="zh-CN"/>
        </w:rPr>
      </w:pPr>
      <w:r>
        <w:rPr>
          <w:rFonts w:hint="eastAsia"/>
          <w:sz w:val="24"/>
          <w:szCs w:val="24"/>
          <w:lang w:val="en-US" w:eastAsia="zh-CN"/>
        </w:rPr>
        <w:t>3.实现审计档案管理，支持按年度、审计类型、审计阶段分别存档，需支持补录审计档案文件，支持审计档案的查询、分享的权限控制以及检索。</w:t>
      </w:r>
    </w:p>
    <w:p>
      <w:pPr>
        <w:pStyle w:val="7"/>
        <w:rPr>
          <w:rFonts w:hint="eastAsia" w:ascii="Times New Roman" w:hAnsi="Times New Roman" w:eastAsia="宋体" w:cs="Times New Roman"/>
          <w:b/>
          <w:bCs/>
          <w:kern w:val="2"/>
          <w:sz w:val="24"/>
          <w:szCs w:val="24"/>
          <w:lang w:val="en-US" w:eastAsia="zh-CN" w:bidi="ar-SA"/>
        </w:rPr>
      </w:pPr>
      <w:bookmarkStart w:id="21" w:name="_Toc16995"/>
      <w:r>
        <w:rPr>
          <w:rFonts w:hint="eastAsia" w:cs="Times New Roman"/>
          <w:b/>
          <w:bCs/>
          <w:kern w:val="2"/>
          <w:sz w:val="24"/>
          <w:szCs w:val="24"/>
          <w:lang w:val="en-US" w:eastAsia="zh-CN" w:bidi="ar-SA"/>
        </w:rPr>
        <w:t>详细需求说明</w:t>
      </w:r>
      <w:bookmarkEnd w:id="21"/>
    </w:p>
    <w:p>
      <w:pPr>
        <w:pStyle w:val="8"/>
      </w:pPr>
      <w:r>
        <w:rPr>
          <w:rFonts w:hint="eastAsia"/>
          <w:lang w:val="en-US" w:eastAsia="zh-CN"/>
        </w:rPr>
        <w:t>业务场景</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5652"/>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32" w:type="dxa"/>
            <w:shd w:val="clear" w:color="auto" w:fill="D7D7D7" w:themeFill="background1" w:themeFillShade="D8"/>
            <w:vAlign w:val="center"/>
          </w:tcPr>
          <w:p>
            <w:pPr>
              <w:pStyle w:val="5"/>
              <w:ind w:left="0" w:leftChars="0" w:firstLine="0" w:firstLineChars="0"/>
              <w:jc w:val="center"/>
              <w:rPr>
                <w:rFonts w:hint="eastAsia" w:eastAsia="宋体"/>
                <w:b/>
                <w:bCs/>
                <w:sz w:val="21"/>
                <w:szCs w:val="21"/>
                <w:vertAlign w:val="baseline"/>
                <w:lang w:val="en-US" w:eastAsia="zh-CN"/>
              </w:rPr>
            </w:pPr>
            <w:r>
              <w:rPr>
                <w:rFonts w:hint="eastAsia"/>
                <w:b/>
                <w:bCs/>
                <w:sz w:val="21"/>
                <w:szCs w:val="21"/>
                <w:vertAlign w:val="baseline"/>
                <w:lang w:val="en-US" w:eastAsia="zh-CN"/>
              </w:rPr>
              <w:t>阶段</w:t>
            </w:r>
          </w:p>
        </w:tc>
        <w:tc>
          <w:tcPr>
            <w:tcW w:w="5652" w:type="dxa"/>
            <w:shd w:val="clear" w:color="auto" w:fill="D7D7D7" w:themeFill="background1" w:themeFillShade="D8"/>
            <w:vAlign w:val="center"/>
          </w:tcPr>
          <w:p>
            <w:pPr>
              <w:pStyle w:val="5"/>
              <w:ind w:left="0" w:leftChars="0" w:firstLine="0" w:firstLineChars="0"/>
              <w:rPr>
                <w:rFonts w:hint="eastAsia" w:eastAsia="宋体"/>
                <w:b/>
                <w:bCs/>
                <w:sz w:val="21"/>
                <w:szCs w:val="21"/>
                <w:vertAlign w:val="baseline"/>
                <w:lang w:val="en-US" w:eastAsia="zh-CN"/>
              </w:rPr>
            </w:pPr>
            <w:r>
              <w:rPr>
                <w:rFonts w:hint="eastAsia"/>
                <w:b/>
                <w:bCs/>
                <w:sz w:val="21"/>
                <w:szCs w:val="21"/>
                <w:vertAlign w:val="baseline"/>
                <w:lang w:val="en-US" w:eastAsia="zh-CN"/>
              </w:rPr>
              <w:t>场景</w:t>
            </w:r>
          </w:p>
        </w:tc>
        <w:tc>
          <w:tcPr>
            <w:tcW w:w="1820" w:type="dxa"/>
            <w:shd w:val="clear" w:color="auto" w:fill="D7D7D7" w:themeFill="background1" w:themeFillShade="D8"/>
            <w:vAlign w:val="center"/>
          </w:tcPr>
          <w:p>
            <w:pPr>
              <w:pStyle w:val="5"/>
              <w:ind w:left="0" w:leftChars="0" w:firstLine="0" w:firstLineChars="0"/>
              <w:rPr>
                <w:rFonts w:hint="default" w:eastAsia="宋体"/>
                <w:b/>
                <w:bCs/>
                <w:sz w:val="21"/>
                <w:szCs w:val="21"/>
                <w:vertAlign w:val="baseline"/>
                <w:lang w:val="en-US" w:eastAsia="zh-CN"/>
              </w:rPr>
            </w:pPr>
            <w:r>
              <w:rPr>
                <w:rFonts w:hint="eastAsia"/>
                <w:b/>
                <w:bCs/>
                <w:sz w:val="21"/>
                <w:szCs w:val="21"/>
                <w:vertAlign w:val="baseline"/>
                <w:lang w:val="en-US" w:eastAsia="zh-CN"/>
              </w:rPr>
              <w:t>部门/用户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jc w:val="center"/>
              <w:rPr>
                <w:rFonts w:hint="default" w:eastAsia="宋体"/>
                <w:sz w:val="21"/>
                <w:szCs w:val="21"/>
                <w:vertAlign w:val="baseline"/>
                <w:lang w:val="en-US" w:eastAsia="zh-CN"/>
              </w:rPr>
            </w:pPr>
            <w:r>
              <w:rPr>
                <w:rFonts w:hint="eastAsia"/>
                <w:sz w:val="21"/>
                <w:szCs w:val="21"/>
                <w:vertAlign w:val="baseline"/>
                <w:lang w:val="en-US" w:eastAsia="zh-CN"/>
              </w:rPr>
              <w:t>归档</w:t>
            </w:r>
          </w:p>
        </w:tc>
        <w:tc>
          <w:tcPr>
            <w:tcW w:w="5652"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审计组在完成项目审计实施后，需按照项目维度、审计阶段完成所有审计资料的归档，从项目审计方案、审计通知书、调查取证资料、审计工作底稿、审计报告、审计整改情况等各个阶段的文件资料进行统一纳管</w:t>
            </w:r>
          </w:p>
        </w:tc>
        <w:tc>
          <w:tcPr>
            <w:tcW w:w="1820"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审计组成员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jc w:val="center"/>
              <w:rPr>
                <w:rFonts w:hint="default" w:eastAsia="宋体"/>
                <w:sz w:val="21"/>
                <w:szCs w:val="21"/>
                <w:vertAlign w:val="baseline"/>
                <w:lang w:val="en-US" w:eastAsia="zh-CN"/>
              </w:rPr>
            </w:pPr>
            <w:r>
              <w:rPr>
                <w:rFonts w:hint="eastAsia"/>
                <w:sz w:val="21"/>
                <w:szCs w:val="21"/>
                <w:vertAlign w:val="baseline"/>
                <w:lang w:val="en-US" w:eastAsia="zh-CN"/>
              </w:rPr>
              <w:t>检索</w:t>
            </w:r>
          </w:p>
        </w:tc>
        <w:tc>
          <w:tcPr>
            <w:tcW w:w="5652"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审计人员在需要查找历史审计项目资料时，能快速通过关键字、资料分类、项目、业务部门等多维度筛选条件快速检索到对应的文件资料</w:t>
            </w:r>
          </w:p>
        </w:tc>
        <w:tc>
          <w:tcPr>
            <w:tcW w:w="1820"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审计组成员、其他人员</w:t>
            </w:r>
          </w:p>
        </w:tc>
      </w:tr>
    </w:tbl>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流程图</w:t>
      </w:r>
    </w:p>
    <w:p>
      <w:pPr>
        <w:pStyle w:val="5"/>
        <w:rPr>
          <w:rFonts w:hint="default"/>
          <w:sz w:val="24"/>
          <w:szCs w:val="24"/>
          <w:lang w:val="en-US" w:eastAsia="zh-CN"/>
        </w:rPr>
      </w:pPr>
      <w:r>
        <w:rPr>
          <w:rFonts w:hint="eastAsia"/>
          <w:sz w:val="24"/>
          <w:szCs w:val="24"/>
          <w:lang w:val="en-US" w:eastAsia="zh-CN"/>
        </w:rPr>
        <w:t>无流程图。</w:t>
      </w: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用户业务需求</w:t>
      </w:r>
    </w:p>
    <w:tbl>
      <w:tblPr>
        <w:tblStyle w:val="33"/>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72" w:type="dxa"/>
          <w:bottom w:w="0" w:type="dxa"/>
          <w:right w:w="72" w:type="dxa"/>
        </w:tblCellMar>
      </w:tblPr>
      <w:tblGrid>
        <w:gridCol w:w="1293"/>
        <w:gridCol w:w="7639"/>
      </w:tblGrid>
      <w:tr>
        <w:trPr>
          <w:tblHeader/>
        </w:trPr>
        <w:tc>
          <w:tcPr>
            <w:tcW w:w="1293" w:type="dxa"/>
            <w:tcBorders>
              <w:top w:val="single" w:color="auto" w:sz="4" w:space="0"/>
              <w:left w:val="single" w:color="auto" w:sz="4" w:space="0"/>
              <w:bottom w:val="single" w:color="auto" w:sz="4" w:space="0"/>
              <w:right w:val="single" w:color="auto" w:sz="4" w:space="0"/>
            </w:tcBorders>
            <w:shd w:val="clear" w:color="auto" w:fill="EAEAEA"/>
          </w:tcPr>
          <w:p>
            <w:pPr>
              <w:pStyle w:val="94"/>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需求编号</w:t>
            </w:r>
          </w:p>
        </w:tc>
        <w:tc>
          <w:tcPr>
            <w:tcW w:w="7639" w:type="dxa"/>
            <w:tcBorders>
              <w:top w:val="single" w:color="auto" w:sz="4" w:space="0"/>
              <w:left w:val="single" w:color="auto" w:sz="4" w:space="0"/>
              <w:bottom w:val="single" w:color="auto" w:sz="4" w:space="0"/>
              <w:right w:val="single" w:color="auto" w:sz="4" w:space="0"/>
            </w:tcBorders>
            <w:shd w:val="clear" w:color="auto" w:fill="EAEAEA"/>
          </w:tcPr>
          <w:p>
            <w:pPr>
              <w:pStyle w:val="94"/>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需求详细描述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60" w:hRule="exact"/>
        </w:trPr>
        <w:tc>
          <w:tcPr>
            <w:tcW w:w="1293" w:type="dxa"/>
            <w:tcBorders>
              <w:top w:val="single" w:color="auto" w:sz="4" w:space="0"/>
              <w:left w:val="nil"/>
              <w:bottom w:val="single" w:color="auto" w:sz="6" w:space="0"/>
              <w:right w:val="nil"/>
            </w:tcBorders>
            <w:shd w:val="pct50" w:color="auto" w:fill="auto"/>
          </w:tcPr>
          <w:p>
            <w:pPr>
              <w:pStyle w:val="93"/>
              <w:spacing w:line="360" w:lineRule="auto"/>
              <w:rPr>
                <w:rFonts w:asciiTheme="minorEastAsia" w:hAnsiTheme="minorEastAsia" w:eastAsiaTheme="minorEastAsia"/>
                <w:color w:val="000000"/>
                <w:sz w:val="21"/>
                <w:szCs w:val="21"/>
              </w:rPr>
            </w:pPr>
          </w:p>
        </w:tc>
        <w:tc>
          <w:tcPr>
            <w:tcW w:w="7639" w:type="dxa"/>
            <w:tcBorders>
              <w:top w:val="single" w:color="auto" w:sz="4" w:space="0"/>
              <w:left w:val="nil"/>
              <w:bottom w:val="single" w:color="auto" w:sz="6" w:space="0"/>
              <w:right w:val="nil"/>
            </w:tcBorders>
            <w:shd w:val="pct50" w:color="auto" w:fill="auto"/>
          </w:tcPr>
          <w:p>
            <w:pPr>
              <w:pStyle w:val="93"/>
              <w:spacing w:line="360" w:lineRule="auto"/>
              <w:rPr>
                <w:rFonts w:asciiTheme="minorEastAsia" w:hAnsiTheme="minorEastAsia" w:eastAsiaTheme="minorEastAsia"/>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293" w:type="dxa"/>
            <w:tcBorders>
              <w:top w:val="nil"/>
              <w:left w:val="single" w:color="auto" w:sz="12" w:space="0"/>
              <w:bottom w:val="single" w:color="auto" w:sz="6" w:space="0"/>
              <w:right w:val="single" w:color="auto" w:sz="6" w:space="0"/>
            </w:tcBorders>
            <w:vAlign w:val="center"/>
          </w:tcPr>
          <w:p>
            <w:pPr>
              <w:pStyle w:val="93"/>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1</w:t>
            </w:r>
          </w:p>
        </w:tc>
        <w:tc>
          <w:tcPr>
            <w:tcW w:w="7639" w:type="dxa"/>
            <w:tcBorders>
              <w:top w:val="nil"/>
              <w:left w:val="single" w:color="auto" w:sz="6" w:space="0"/>
              <w:bottom w:val="single" w:color="auto" w:sz="6" w:space="0"/>
              <w:right w:val="single" w:color="auto" w:sz="12" w:space="0"/>
            </w:tcBorders>
            <w:vAlign w:val="center"/>
          </w:tcPr>
          <w:p>
            <w:pPr>
              <w:pStyle w:val="93"/>
              <w:spacing w:line="360" w:lineRule="auto"/>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支持审计项目信息的</w:t>
            </w:r>
            <w:r>
              <w:rPr>
                <w:rFonts w:hint="eastAsia" w:asciiTheme="minorEastAsia" w:hAnsiTheme="minorEastAsia" w:eastAsiaTheme="minorEastAsia"/>
                <w:color w:val="000000"/>
                <w:sz w:val="21"/>
                <w:szCs w:val="21"/>
              </w:rPr>
              <w:t>查看和管理，包括项目状态、进度、负责人等，以便进行项目的分配、监控和协调；能够了解和管理审计项目所需的人力、物资</w:t>
            </w:r>
            <w:r>
              <w:rPr>
                <w:rFonts w:hint="eastAsia" w:asciiTheme="minorEastAsia" w:hAnsiTheme="minorEastAsia" w:eastAsiaTheme="minorEastAsia"/>
                <w:color w:val="000000"/>
                <w:sz w:val="21"/>
                <w:szCs w:val="21"/>
                <w:lang w:val="en-US" w:eastAsia="zh-CN"/>
              </w:rPr>
              <w:t>等</w:t>
            </w:r>
            <w:r>
              <w:rPr>
                <w:rFonts w:hint="eastAsia" w:asciiTheme="minorEastAsia" w:hAnsiTheme="minorEastAsia" w:eastAsiaTheme="minorEastAsia"/>
                <w:color w:val="000000"/>
                <w:sz w:val="21"/>
                <w:szCs w:val="21"/>
              </w:rPr>
              <w:t>资源，能够查看和跟踪审计项目中的问题和异常情况，以便协助解决问题和推动整改工作；能够查看和下载审计项目的报告、总结和相关文档，以便了解审计结果和建议。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293" w:type="dxa"/>
            <w:tcBorders>
              <w:top w:val="nil"/>
              <w:left w:val="single" w:color="auto" w:sz="12" w:space="0"/>
              <w:bottom w:val="single" w:color="auto" w:sz="6" w:space="0"/>
              <w:right w:val="single" w:color="auto" w:sz="6" w:space="0"/>
            </w:tcBorders>
            <w:vAlign w:val="center"/>
          </w:tcPr>
          <w:p>
            <w:pPr>
              <w:pStyle w:val="93"/>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2</w:t>
            </w:r>
          </w:p>
        </w:tc>
        <w:tc>
          <w:tcPr>
            <w:tcW w:w="7639" w:type="dxa"/>
            <w:tcBorders>
              <w:top w:val="nil"/>
              <w:left w:val="single" w:color="auto" w:sz="6" w:space="0"/>
              <w:bottom w:val="single" w:color="auto" w:sz="6" w:space="0"/>
              <w:right w:val="single" w:color="auto" w:sz="12" w:space="0"/>
            </w:tcBorders>
            <w:vAlign w:val="center"/>
          </w:tcPr>
          <w:p>
            <w:pPr>
              <w:pStyle w:val="93"/>
              <w:spacing w:line="360" w:lineRule="auto"/>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支持审计任务</w:t>
            </w:r>
            <w:r>
              <w:rPr>
                <w:rFonts w:hint="eastAsia" w:asciiTheme="minorEastAsia" w:hAnsiTheme="minorEastAsia" w:eastAsiaTheme="minorEastAsia"/>
                <w:color w:val="000000"/>
                <w:sz w:val="21"/>
                <w:szCs w:val="21"/>
              </w:rPr>
              <w:t>查看和接收分配，</w:t>
            </w:r>
            <w:r>
              <w:rPr>
                <w:rFonts w:hint="eastAsia" w:asciiTheme="minorEastAsia" w:hAnsiTheme="minorEastAsia" w:eastAsiaTheme="minorEastAsia"/>
                <w:color w:val="000000"/>
                <w:sz w:val="21"/>
                <w:szCs w:val="21"/>
                <w:lang w:val="en-US" w:eastAsia="zh-CN"/>
              </w:rPr>
              <w:t>查看审计</w:t>
            </w:r>
            <w:r>
              <w:rPr>
                <w:rFonts w:hint="eastAsia" w:asciiTheme="minorEastAsia" w:hAnsiTheme="minorEastAsia" w:eastAsiaTheme="minorEastAsia"/>
                <w:color w:val="000000"/>
                <w:sz w:val="21"/>
                <w:szCs w:val="21"/>
              </w:rPr>
              <w:t>任务的详细信息、截止日期等；能够记录和更新自己的审计工作进展和</w:t>
            </w:r>
            <w:r>
              <w:rPr>
                <w:rFonts w:hint="eastAsia" w:asciiTheme="minorEastAsia" w:hAnsiTheme="minorEastAsia" w:eastAsiaTheme="minorEastAsia"/>
                <w:color w:val="000000"/>
                <w:sz w:val="21"/>
                <w:szCs w:val="21"/>
                <w:lang w:val="en-US" w:eastAsia="zh-CN"/>
              </w:rPr>
              <w:t>审计过程文档资料</w:t>
            </w:r>
            <w:r>
              <w:rPr>
                <w:rFonts w:hint="eastAsia" w:asciiTheme="minorEastAsia" w:hAnsiTheme="minorEastAsia" w:eastAsiaTheme="minorEastAsia"/>
                <w:color w:val="000000"/>
                <w:sz w:val="21"/>
                <w:szCs w:val="21"/>
              </w:rPr>
              <w:t>，以便进行工作交接和审计文件的管理；能够记录和报告审计过程中发现的问题和异常情况，包括问题描述、分类、优先级等。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293" w:type="dxa"/>
            <w:tcBorders>
              <w:top w:val="nil"/>
              <w:left w:val="single" w:color="auto" w:sz="12" w:space="0"/>
              <w:bottom w:val="single" w:color="auto" w:sz="6" w:space="0"/>
              <w:right w:val="single" w:color="auto" w:sz="6" w:space="0"/>
            </w:tcBorders>
            <w:vAlign w:val="center"/>
          </w:tcPr>
          <w:p>
            <w:pPr>
              <w:pStyle w:val="93"/>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3</w:t>
            </w:r>
          </w:p>
        </w:tc>
        <w:tc>
          <w:tcPr>
            <w:tcW w:w="7639" w:type="dxa"/>
            <w:tcBorders>
              <w:top w:val="nil"/>
              <w:left w:val="single" w:color="auto" w:sz="6" w:space="0"/>
              <w:bottom w:val="single" w:color="auto" w:sz="6" w:space="0"/>
              <w:right w:val="single" w:color="auto" w:sz="12" w:space="0"/>
            </w:tcBorders>
            <w:vAlign w:val="center"/>
          </w:tcPr>
          <w:p>
            <w:pPr>
              <w:pStyle w:val="93"/>
              <w:spacing w:line="360" w:lineRule="auto"/>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支持</w:t>
            </w:r>
            <w:r>
              <w:rPr>
                <w:rFonts w:hint="eastAsia" w:asciiTheme="minorEastAsia" w:hAnsiTheme="minorEastAsia" w:eastAsiaTheme="minorEastAsia"/>
                <w:color w:val="000000"/>
                <w:sz w:val="21"/>
                <w:szCs w:val="21"/>
              </w:rPr>
              <w:t>审计项目的进展和状态跟踪，包括项目计划、任务、报告等，以便了解项目的整体情况。通知和提醒：能够接收和查看与审计项目相关的通知、提醒和重要信息，以便及时参与和响应。</w:t>
            </w:r>
          </w:p>
        </w:tc>
      </w:tr>
    </w:tbl>
    <w:p>
      <w:pPr>
        <w:pStyle w:val="5"/>
        <w:rPr>
          <w:rFonts w:hint="eastAsia"/>
          <w:lang w:val="en-US" w:eastAsia="zh-CN"/>
        </w:rPr>
      </w:pPr>
    </w:p>
    <w:p>
      <w:pPr>
        <w:pStyle w:val="6"/>
        <w:rPr>
          <w:rFonts w:hint="eastAsia" w:cs="Times New Roman" w:asciiTheme="minorEastAsia" w:hAnsiTheme="minorEastAsia" w:eastAsiaTheme="minorEastAsia"/>
          <w:b/>
          <w:bCs/>
          <w:kern w:val="2"/>
          <w:sz w:val="24"/>
          <w:szCs w:val="24"/>
          <w:lang w:val="en-US" w:eastAsia="zh-CN" w:bidi="ar-SA"/>
        </w:rPr>
      </w:pPr>
      <w:bookmarkStart w:id="22" w:name="_Toc23180"/>
      <w:r>
        <w:rPr>
          <w:rFonts w:hint="eastAsia" w:cs="Times New Roman" w:asciiTheme="minorEastAsia" w:hAnsiTheme="minorEastAsia" w:eastAsiaTheme="minorEastAsia"/>
          <w:b/>
          <w:bCs/>
          <w:kern w:val="2"/>
          <w:sz w:val="24"/>
          <w:szCs w:val="24"/>
          <w:lang w:val="en-US" w:eastAsia="zh-CN" w:bidi="ar-SA"/>
        </w:rPr>
        <w:t>内控风险管理</w:t>
      </w:r>
      <w:bookmarkEnd w:id="22"/>
    </w:p>
    <w:p>
      <w:pPr>
        <w:pStyle w:val="7"/>
      </w:pPr>
      <w:bookmarkStart w:id="23" w:name="_Toc17201"/>
      <w:r>
        <w:rPr>
          <w:rFonts w:hint="eastAsia"/>
          <w:lang w:val="en-US" w:eastAsia="zh-CN"/>
        </w:rPr>
        <w:t>违规经营追责管理</w:t>
      </w:r>
      <w:bookmarkEnd w:id="23"/>
    </w:p>
    <w:p>
      <w:pPr>
        <w:pStyle w:val="8"/>
      </w:pPr>
      <w:bookmarkStart w:id="24" w:name="_Toc15446"/>
      <w:r>
        <w:rPr>
          <w:rFonts w:hint="eastAsia"/>
          <w:lang w:val="en-US" w:eastAsia="zh-CN"/>
        </w:rPr>
        <w:t>业务状况</w:t>
      </w:r>
    </w:p>
    <w:p>
      <w:pPr>
        <w:pStyle w:val="17"/>
        <w:spacing w:line="360" w:lineRule="auto"/>
        <w:ind w:firstLine="480" w:firstLineChars="200"/>
        <w:rPr>
          <w:rFonts w:hint="default"/>
          <w:sz w:val="24"/>
          <w:szCs w:val="24"/>
          <w:lang w:val="en-US" w:eastAsia="zh-CN"/>
        </w:rPr>
      </w:pPr>
      <w:r>
        <w:rPr>
          <w:rFonts w:hint="eastAsia"/>
          <w:sz w:val="24"/>
          <w:szCs w:val="24"/>
          <w:lang w:val="en-US" w:eastAsia="zh-CN"/>
        </w:rPr>
        <w:t>市铁路集团及所属企业经营管理有关人员违反规定，未履行或未正确履行职责，在经营投资中造成国有资产损失或其他严重不良后果，经调查核实和责任认定，对相关责任人进行处理。主要包含企业管理，风险管理，购销管理，工程承包建设，资金管理，转让产权、上市公司股权、资产等，固定资产投资，投资并购，改组改制，境外经营投资等十个方面出现违规后，都将对相关责任人进行追责处理。</w:t>
      </w: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业务基本需求</w:t>
      </w:r>
    </w:p>
    <w:p>
      <w:pPr>
        <w:pStyle w:val="17"/>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实现</w:t>
      </w:r>
      <w:r>
        <w:rPr>
          <w:rFonts w:hint="eastAsia" w:ascii="宋体" w:hAnsi="宋体" w:eastAsia="宋体" w:cs="宋体"/>
          <w:sz w:val="24"/>
          <w:szCs w:val="24"/>
        </w:rPr>
        <w:t>违规</w:t>
      </w:r>
      <w:r>
        <w:rPr>
          <w:rFonts w:hint="eastAsia" w:ascii="宋体" w:hAnsi="宋体" w:eastAsia="宋体" w:cs="宋体"/>
          <w:sz w:val="24"/>
          <w:szCs w:val="24"/>
          <w:lang w:val="en-US" w:eastAsia="zh-CN"/>
        </w:rPr>
        <w:t>经营追责</w:t>
      </w:r>
      <w:r>
        <w:rPr>
          <w:rFonts w:hint="eastAsia" w:ascii="宋体" w:hAnsi="宋体" w:eastAsia="宋体" w:cs="宋体"/>
          <w:sz w:val="24"/>
          <w:szCs w:val="24"/>
        </w:rPr>
        <w:t>行为</w:t>
      </w:r>
      <w:r>
        <w:rPr>
          <w:rFonts w:hint="eastAsia" w:ascii="宋体" w:hAnsi="宋体" w:cs="宋体"/>
          <w:sz w:val="24"/>
          <w:szCs w:val="24"/>
          <w:lang w:val="en-US" w:eastAsia="zh-CN"/>
        </w:rPr>
        <w:t>记录与报告</w:t>
      </w:r>
      <w:r>
        <w:rPr>
          <w:rFonts w:hint="eastAsia" w:ascii="宋体" w:hAnsi="宋体" w:eastAsia="宋体" w:cs="宋体"/>
          <w:sz w:val="24"/>
          <w:szCs w:val="24"/>
          <w:lang w:eastAsia="zh-CN"/>
        </w:rPr>
        <w:t>，</w:t>
      </w:r>
      <w:r>
        <w:rPr>
          <w:rFonts w:hint="eastAsia" w:ascii="宋体" w:hAnsi="宋体" w:eastAsia="宋体" w:cs="宋体"/>
          <w:sz w:val="24"/>
          <w:szCs w:val="24"/>
        </w:rPr>
        <w:t>详细记录违规行为的相关信息</w:t>
      </w:r>
      <w:r>
        <w:rPr>
          <w:rFonts w:hint="eastAsia" w:ascii="宋体" w:hAnsi="宋体" w:eastAsia="宋体" w:cs="宋体"/>
          <w:sz w:val="24"/>
          <w:szCs w:val="24"/>
          <w:lang w:eastAsia="zh-CN"/>
        </w:rPr>
        <w:t>，</w:t>
      </w:r>
      <w:r>
        <w:rPr>
          <w:rFonts w:hint="eastAsia" w:ascii="宋体" w:hAnsi="宋体" w:eastAsia="宋体" w:cs="宋体"/>
          <w:sz w:val="24"/>
          <w:szCs w:val="24"/>
        </w:rPr>
        <w:t>对违规行为进行分类和归档，便于后续分析和管理。</w:t>
      </w:r>
    </w:p>
    <w:p>
      <w:pPr>
        <w:pStyle w:val="17"/>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cs="宋体"/>
          <w:sz w:val="24"/>
          <w:szCs w:val="24"/>
          <w:lang w:val="en-US" w:eastAsia="zh-CN"/>
        </w:rPr>
        <w:t>.</w:t>
      </w:r>
      <w:r>
        <w:rPr>
          <w:rFonts w:hint="eastAsia" w:ascii="宋体" w:hAnsi="宋体" w:eastAsia="宋体" w:cs="宋体"/>
          <w:sz w:val="24"/>
          <w:szCs w:val="24"/>
        </w:rPr>
        <w:t>调查与处理流程</w:t>
      </w:r>
      <w:r>
        <w:rPr>
          <w:rFonts w:hint="eastAsia" w:ascii="宋体" w:hAnsi="宋体" w:eastAsia="宋体" w:cs="宋体"/>
          <w:sz w:val="24"/>
          <w:szCs w:val="24"/>
          <w:lang w:eastAsia="zh-CN"/>
        </w:rPr>
        <w:t>，</w:t>
      </w:r>
      <w:r>
        <w:rPr>
          <w:rFonts w:hint="eastAsia" w:ascii="宋体" w:hAnsi="宋体" w:eastAsia="宋体" w:cs="宋体"/>
          <w:sz w:val="24"/>
          <w:szCs w:val="24"/>
        </w:rPr>
        <w:t>建立调查程序和流程，确保对违规行为进行全面、公正的调查</w:t>
      </w:r>
      <w:r>
        <w:rPr>
          <w:rFonts w:hint="eastAsia" w:ascii="宋体" w:hAnsi="宋体" w:eastAsia="宋体" w:cs="宋体"/>
          <w:sz w:val="24"/>
          <w:szCs w:val="24"/>
          <w:lang w:eastAsia="zh-CN"/>
        </w:rPr>
        <w:t>，</w:t>
      </w:r>
      <w:r>
        <w:rPr>
          <w:rFonts w:hint="eastAsia" w:ascii="宋体" w:hAnsi="宋体" w:eastAsia="宋体" w:cs="宋体"/>
          <w:sz w:val="24"/>
          <w:szCs w:val="24"/>
        </w:rPr>
        <w:t>规范证据的收集和保存，以支持后续的追责与处理</w:t>
      </w:r>
      <w:r>
        <w:rPr>
          <w:rFonts w:hint="eastAsia" w:ascii="宋体" w:hAnsi="宋体" w:eastAsia="宋体" w:cs="宋体"/>
          <w:sz w:val="24"/>
          <w:szCs w:val="24"/>
          <w:lang w:eastAsia="zh-CN"/>
        </w:rPr>
        <w:t>，</w:t>
      </w:r>
      <w:r>
        <w:rPr>
          <w:rFonts w:hint="eastAsia" w:ascii="宋体" w:hAnsi="宋体" w:eastAsia="宋体" w:cs="宋体"/>
          <w:sz w:val="24"/>
          <w:szCs w:val="24"/>
        </w:rPr>
        <w:t>设立违规行为处理流程。</w:t>
      </w:r>
    </w:p>
    <w:p>
      <w:pPr>
        <w:pStyle w:val="17"/>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cs="宋体"/>
          <w:sz w:val="24"/>
          <w:szCs w:val="24"/>
          <w:lang w:val="en-US" w:eastAsia="zh-CN"/>
        </w:rPr>
        <w:t>.</w:t>
      </w:r>
      <w:r>
        <w:rPr>
          <w:rFonts w:hint="eastAsia" w:ascii="宋体" w:hAnsi="宋体" w:eastAsia="宋体" w:cs="宋体"/>
          <w:sz w:val="24"/>
          <w:szCs w:val="24"/>
        </w:rPr>
        <w:t>违规责任追究</w:t>
      </w:r>
      <w:r>
        <w:rPr>
          <w:rFonts w:hint="eastAsia" w:ascii="宋体" w:hAnsi="宋体" w:eastAsia="宋体" w:cs="宋体"/>
          <w:sz w:val="24"/>
          <w:szCs w:val="24"/>
          <w:lang w:eastAsia="zh-CN"/>
        </w:rPr>
        <w:t>，</w:t>
      </w:r>
      <w:r>
        <w:rPr>
          <w:rFonts w:hint="eastAsia" w:ascii="宋体" w:hAnsi="宋体" w:eastAsia="宋体" w:cs="宋体"/>
          <w:sz w:val="24"/>
          <w:szCs w:val="24"/>
        </w:rPr>
        <w:t>明确违规责任认定的标准和程序</w:t>
      </w:r>
      <w:r>
        <w:rPr>
          <w:rFonts w:hint="eastAsia" w:ascii="宋体" w:hAnsi="宋体" w:eastAsia="宋体" w:cs="宋体"/>
          <w:sz w:val="24"/>
          <w:szCs w:val="24"/>
          <w:lang w:eastAsia="zh-CN"/>
        </w:rPr>
        <w:t>，</w:t>
      </w:r>
      <w:r>
        <w:rPr>
          <w:rFonts w:hint="eastAsia" w:ascii="宋体" w:hAnsi="宋体" w:eastAsia="宋体" w:cs="宋体"/>
          <w:sz w:val="24"/>
          <w:szCs w:val="24"/>
        </w:rPr>
        <w:t>对违规行为的责任人进行追责，包括个人、部门或相关管理人员。</w:t>
      </w:r>
    </w:p>
    <w:p>
      <w:pPr>
        <w:pStyle w:val="17"/>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实现违规经营追责</w:t>
      </w:r>
      <w:r>
        <w:rPr>
          <w:rFonts w:hint="eastAsia" w:ascii="宋体" w:hAnsi="宋体" w:eastAsia="宋体" w:cs="宋体"/>
          <w:sz w:val="24"/>
          <w:szCs w:val="24"/>
        </w:rPr>
        <w:t>整改与监督</w:t>
      </w:r>
      <w:r>
        <w:rPr>
          <w:rFonts w:hint="eastAsia" w:ascii="宋体" w:hAnsi="宋体" w:eastAsia="宋体" w:cs="宋体"/>
          <w:sz w:val="24"/>
          <w:szCs w:val="24"/>
          <w:lang w:val="en-US" w:eastAsia="zh-CN"/>
        </w:rPr>
        <w:t>管理，</w:t>
      </w:r>
      <w:r>
        <w:rPr>
          <w:rFonts w:hint="eastAsia" w:ascii="宋体" w:hAnsi="宋体" w:eastAsia="宋体" w:cs="宋体"/>
          <w:sz w:val="24"/>
          <w:szCs w:val="24"/>
        </w:rPr>
        <w:t>针对违规行为提出整改要求，确保问题得到根本解决</w:t>
      </w:r>
      <w:r>
        <w:rPr>
          <w:rFonts w:hint="eastAsia" w:ascii="宋体" w:hAnsi="宋体" w:eastAsia="宋体" w:cs="宋体"/>
          <w:sz w:val="24"/>
          <w:szCs w:val="24"/>
          <w:lang w:eastAsia="zh-CN"/>
        </w:rPr>
        <w:t>；</w:t>
      </w:r>
      <w:r>
        <w:rPr>
          <w:rFonts w:hint="eastAsia" w:ascii="宋体" w:hAnsi="宋体" w:eastAsia="宋体" w:cs="宋体"/>
          <w:sz w:val="24"/>
          <w:szCs w:val="24"/>
        </w:rPr>
        <w:t>建立监督机制，对整改措施的执行情况进行监督和跟踪</w:t>
      </w:r>
      <w:r>
        <w:rPr>
          <w:rFonts w:hint="eastAsia" w:ascii="宋体" w:hAnsi="宋体" w:eastAsia="宋体" w:cs="宋体"/>
          <w:sz w:val="24"/>
          <w:szCs w:val="24"/>
          <w:lang w:eastAsia="zh-CN"/>
        </w:rPr>
        <w:t>；</w:t>
      </w:r>
      <w:r>
        <w:rPr>
          <w:rFonts w:hint="eastAsia" w:ascii="宋体" w:hAnsi="宋体" w:eastAsia="宋体" w:cs="宋体"/>
          <w:sz w:val="24"/>
          <w:szCs w:val="24"/>
        </w:rPr>
        <w:t>通过追责管理，加强内部风险意识，预防未来类似违规行为的发生。</w:t>
      </w:r>
    </w:p>
    <w:p>
      <w:pPr>
        <w:pStyle w:val="17"/>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实现</w:t>
      </w:r>
      <w:r>
        <w:rPr>
          <w:rFonts w:hint="eastAsia" w:ascii="宋体" w:hAnsi="宋体" w:eastAsia="宋体" w:cs="宋体"/>
          <w:sz w:val="24"/>
          <w:szCs w:val="24"/>
        </w:rPr>
        <w:t>违规经营追责管理的报告</w:t>
      </w:r>
      <w:r>
        <w:rPr>
          <w:rFonts w:hint="eastAsia" w:ascii="宋体" w:hAnsi="宋体" w:eastAsia="宋体" w:cs="宋体"/>
          <w:sz w:val="24"/>
          <w:szCs w:val="24"/>
          <w:lang w:val="en-US" w:eastAsia="zh-CN"/>
        </w:rPr>
        <w:t>管理</w:t>
      </w:r>
      <w:r>
        <w:rPr>
          <w:rFonts w:hint="eastAsia" w:ascii="宋体" w:hAnsi="宋体" w:eastAsia="宋体" w:cs="宋体"/>
          <w:sz w:val="24"/>
          <w:szCs w:val="24"/>
        </w:rPr>
        <w:t>，包括发现的违规情况、处理情况和</w:t>
      </w:r>
      <w:r>
        <w:rPr>
          <w:rFonts w:hint="eastAsia" w:ascii="宋体" w:hAnsi="宋体" w:eastAsia="宋体" w:cs="宋体"/>
          <w:sz w:val="24"/>
          <w:szCs w:val="24"/>
          <w:lang w:val="en-US" w:eastAsia="zh-CN"/>
        </w:rPr>
        <w:t>整改完成情况。</w:t>
      </w: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详细需求说明</w:t>
      </w:r>
    </w:p>
    <w:p>
      <w:pPr>
        <w:pStyle w:val="9"/>
      </w:pPr>
      <w:r>
        <w:rPr>
          <w:rFonts w:hint="eastAsia"/>
          <w:lang w:val="en-US" w:eastAsia="zh-CN"/>
        </w:rPr>
        <w:t>业务场景</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5652"/>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shd w:val="clear" w:color="auto" w:fill="D7D7D7" w:themeFill="background1" w:themeFillShade="D8"/>
            <w:vAlign w:val="center"/>
          </w:tcPr>
          <w:p>
            <w:pPr>
              <w:pStyle w:val="5"/>
              <w:ind w:left="0" w:leftChars="0" w:firstLine="0" w:firstLineChars="0"/>
              <w:jc w:val="center"/>
              <w:rPr>
                <w:rFonts w:hint="eastAsia" w:eastAsia="宋体"/>
                <w:b/>
                <w:bCs/>
                <w:sz w:val="21"/>
                <w:szCs w:val="21"/>
                <w:vertAlign w:val="baseline"/>
                <w:lang w:val="en-US" w:eastAsia="zh-CN"/>
              </w:rPr>
            </w:pPr>
            <w:r>
              <w:rPr>
                <w:rFonts w:hint="eastAsia"/>
                <w:b/>
                <w:bCs/>
                <w:sz w:val="21"/>
                <w:szCs w:val="21"/>
                <w:vertAlign w:val="baseline"/>
                <w:lang w:val="en-US" w:eastAsia="zh-CN"/>
              </w:rPr>
              <w:t>阶段</w:t>
            </w:r>
          </w:p>
        </w:tc>
        <w:tc>
          <w:tcPr>
            <w:tcW w:w="5652" w:type="dxa"/>
            <w:shd w:val="clear" w:color="auto" w:fill="D7D7D7" w:themeFill="background1" w:themeFillShade="D8"/>
            <w:vAlign w:val="center"/>
          </w:tcPr>
          <w:p>
            <w:pPr>
              <w:pStyle w:val="5"/>
              <w:ind w:left="0" w:leftChars="0" w:firstLine="0" w:firstLineChars="0"/>
              <w:rPr>
                <w:rFonts w:hint="eastAsia" w:eastAsia="宋体"/>
                <w:b/>
                <w:bCs/>
                <w:sz w:val="21"/>
                <w:szCs w:val="21"/>
                <w:vertAlign w:val="baseline"/>
                <w:lang w:val="en-US" w:eastAsia="zh-CN"/>
              </w:rPr>
            </w:pPr>
            <w:r>
              <w:rPr>
                <w:rFonts w:hint="eastAsia"/>
                <w:b/>
                <w:bCs/>
                <w:sz w:val="21"/>
                <w:szCs w:val="21"/>
                <w:vertAlign w:val="baseline"/>
                <w:lang w:val="en-US" w:eastAsia="zh-CN"/>
              </w:rPr>
              <w:t>场景</w:t>
            </w:r>
          </w:p>
        </w:tc>
        <w:tc>
          <w:tcPr>
            <w:tcW w:w="1820" w:type="dxa"/>
            <w:shd w:val="clear" w:color="auto" w:fill="D7D7D7" w:themeFill="background1" w:themeFillShade="D8"/>
            <w:vAlign w:val="center"/>
          </w:tcPr>
          <w:p>
            <w:pPr>
              <w:pStyle w:val="5"/>
              <w:ind w:left="0" w:leftChars="0" w:firstLine="0" w:firstLineChars="0"/>
              <w:rPr>
                <w:rFonts w:hint="default" w:eastAsia="宋体"/>
                <w:b/>
                <w:bCs/>
                <w:sz w:val="21"/>
                <w:szCs w:val="21"/>
                <w:vertAlign w:val="baseline"/>
                <w:lang w:val="en-US" w:eastAsia="zh-CN"/>
              </w:rPr>
            </w:pPr>
            <w:r>
              <w:rPr>
                <w:rFonts w:hint="eastAsia"/>
                <w:b/>
                <w:bCs/>
                <w:sz w:val="21"/>
                <w:szCs w:val="21"/>
                <w:vertAlign w:val="baseline"/>
                <w:lang w:val="en-US" w:eastAsia="zh-CN"/>
              </w:rPr>
              <w:t>部门/用户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jc w:val="center"/>
              <w:rPr>
                <w:rFonts w:hint="default" w:eastAsia="宋体"/>
                <w:sz w:val="21"/>
                <w:szCs w:val="21"/>
                <w:vertAlign w:val="baseline"/>
                <w:lang w:val="en-US" w:eastAsia="zh-CN"/>
              </w:rPr>
            </w:pPr>
            <w:r>
              <w:rPr>
                <w:rFonts w:hint="eastAsia"/>
                <w:sz w:val="21"/>
                <w:szCs w:val="21"/>
                <w:vertAlign w:val="baseline"/>
                <w:lang w:val="en-US" w:eastAsia="zh-CN"/>
              </w:rPr>
              <w:t>查出问题线索</w:t>
            </w:r>
          </w:p>
        </w:tc>
        <w:tc>
          <w:tcPr>
            <w:tcW w:w="5652"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市国资委，外部审计、巡视巡察、纪检监察，内部法律、财务等部门及审计、巡察、纪检监察、监事等发现报告问题线索，子企业发现报告问题线索。</w:t>
            </w:r>
          </w:p>
        </w:tc>
        <w:tc>
          <w:tcPr>
            <w:tcW w:w="1820"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外部人员，内部人员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jc w:val="center"/>
              <w:rPr>
                <w:rFonts w:hint="default" w:eastAsia="宋体"/>
                <w:sz w:val="21"/>
                <w:szCs w:val="21"/>
                <w:vertAlign w:val="baseline"/>
                <w:lang w:val="en-US" w:eastAsia="zh-CN"/>
              </w:rPr>
            </w:pPr>
            <w:r>
              <w:rPr>
                <w:rFonts w:hint="eastAsia"/>
                <w:sz w:val="21"/>
                <w:szCs w:val="21"/>
                <w:vertAlign w:val="baseline"/>
                <w:lang w:val="en-US" w:eastAsia="zh-CN"/>
              </w:rPr>
              <w:t>问题受理</w:t>
            </w:r>
          </w:p>
        </w:tc>
        <w:tc>
          <w:tcPr>
            <w:tcW w:w="5652"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违规经营问题线索应以书面的形式报送至追责办公室，经追责领导小组审议后，由追责办公室人员统一办理受理登记</w:t>
            </w:r>
          </w:p>
        </w:tc>
        <w:tc>
          <w:tcPr>
            <w:tcW w:w="1820"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追责办公室人员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jc w:val="center"/>
              <w:rPr>
                <w:rFonts w:hint="default"/>
                <w:sz w:val="21"/>
                <w:szCs w:val="21"/>
                <w:vertAlign w:val="baseline"/>
                <w:lang w:val="en-US" w:eastAsia="zh-CN"/>
              </w:rPr>
            </w:pPr>
            <w:r>
              <w:rPr>
                <w:rFonts w:hint="eastAsia"/>
                <w:sz w:val="21"/>
                <w:szCs w:val="21"/>
                <w:vertAlign w:val="baseline"/>
                <w:lang w:val="en-US" w:eastAsia="zh-CN"/>
              </w:rPr>
              <w:t>初步核实</w:t>
            </w:r>
          </w:p>
        </w:tc>
        <w:tc>
          <w:tcPr>
            <w:tcW w:w="5652" w:type="dxa"/>
            <w:vAlign w:val="center"/>
          </w:tcPr>
          <w:p>
            <w:pPr>
              <w:pStyle w:val="5"/>
              <w:ind w:left="0" w:leftChars="0" w:firstLine="0" w:firstLineChars="0"/>
              <w:rPr>
                <w:rFonts w:hint="default"/>
                <w:sz w:val="21"/>
                <w:szCs w:val="21"/>
                <w:vertAlign w:val="baseline"/>
                <w:lang w:val="en-US" w:eastAsia="zh-CN"/>
              </w:rPr>
            </w:pPr>
            <w:r>
              <w:rPr>
                <w:rFonts w:hint="eastAsia"/>
                <w:sz w:val="21"/>
                <w:szCs w:val="21"/>
                <w:vertAlign w:val="baseline"/>
                <w:lang w:val="en-US" w:eastAsia="zh-CN"/>
              </w:rPr>
              <w:t>问题线索受理后，根据问题线索的业务属性，复杂程度和工作需要，按照部门职能职责分解初步核实任务至相关部门。由相关业务部门对问题线索进行初步核实并进行证据、材料的收集、整理和分析，制定初步核实方案报主管负责人审批</w:t>
            </w:r>
          </w:p>
        </w:tc>
        <w:tc>
          <w:tcPr>
            <w:tcW w:w="1820" w:type="dxa"/>
            <w:vAlign w:val="center"/>
          </w:tcPr>
          <w:p>
            <w:pPr>
              <w:pStyle w:val="5"/>
              <w:ind w:left="0" w:leftChars="0" w:firstLine="0" w:firstLineChars="0"/>
              <w:rPr>
                <w:rFonts w:hint="default"/>
                <w:sz w:val="21"/>
                <w:szCs w:val="21"/>
                <w:vertAlign w:val="baseline"/>
                <w:lang w:val="en-US" w:eastAsia="zh-CN"/>
              </w:rPr>
            </w:pPr>
            <w:r>
              <w:rPr>
                <w:rFonts w:hint="eastAsia"/>
                <w:sz w:val="21"/>
                <w:szCs w:val="21"/>
                <w:vertAlign w:val="baseline"/>
                <w:lang w:val="en-US" w:eastAsia="zh-CN"/>
              </w:rPr>
              <w:t>追责办公室人员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jc w:val="center"/>
              <w:rPr>
                <w:rFonts w:hint="eastAsia"/>
                <w:sz w:val="21"/>
                <w:szCs w:val="21"/>
                <w:vertAlign w:val="baseline"/>
                <w:lang w:val="en-US" w:eastAsia="zh-CN"/>
              </w:rPr>
            </w:pPr>
            <w:r>
              <w:rPr>
                <w:rFonts w:hint="eastAsia"/>
                <w:sz w:val="21"/>
                <w:szCs w:val="21"/>
                <w:vertAlign w:val="baseline"/>
                <w:lang w:val="en-US" w:eastAsia="zh-CN"/>
              </w:rPr>
              <w:t>分类处置</w:t>
            </w:r>
          </w:p>
        </w:tc>
        <w:tc>
          <w:tcPr>
            <w:tcW w:w="5652" w:type="dxa"/>
            <w:vAlign w:val="center"/>
          </w:tcPr>
          <w:p>
            <w:pPr>
              <w:pStyle w:val="5"/>
              <w:ind w:left="0" w:leftChars="0" w:firstLine="0" w:firstLineChars="0"/>
              <w:rPr>
                <w:rFonts w:hint="default"/>
                <w:sz w:val="21"/>
                <w:szCs w:val="21"/>
                <w:vertAlign w:val="baseline"/>
                <w:lang w:val="en-US" w:eastAsia="zh-CN"/>
              </w:rPr>
            </w:pPr>
            <w:r>
              <w:rPr>
                <w:rFonts w:hint="eastAsia"/>
                <w:sz w:val="21"/>
                <w:szCs w:val="21"/>
                <w:vertAlign w:val="baseline"/>
                <w:lang w:val="en-US" w:eastAsia="zh-CN"/>
              </w:rPr>
              <w:t>追责办公室根据相关业务部门的初步核实情况，对确有违规事实或涉嫌违纪违法的，按照职责权限和程序提出分类处置建议，报追责领导小组和集团党委会审议后实施</w:t>
            </w:r>
          </w:p>
        </w:tc>
        <w:tc>
          <w:tcPr>
            <w:tcW w:w="1820" w:type="dxa"/>
            <w:vAlign w:val="center"/>
          </w:tcPr>
          <w:p>
            <w:pPr>
              <w:pStyle w:val="5"/>
              <w:ind w:left="0" w:leftChars="0" w:firstLine="0" w:firstLineChars="0"/>
              <w:rPr>
                <w:rFonts w:hint="default"/>
                <w:sz w:val="21"/>
                <w:szCs w:val="21"/>
                <w:vertAlign w:val="baseline"/>
                <w:lang w:val="en-US" w:eastAsia="zh-CN"/>
              </w:rPr>
            </w:pPr>
            <w:r>
              <w:rPr>
                <w:rFonts w:hint="eastAsia"/>
                <w:sz w:val="21"/>
                <w:szCs w:val="21"/>
                <w:vertAlign w:val="baseline"/>
                <w:lang w:val="en-US" w:eastAsia="zh-CN"/>
              </w:rPr>
              <w:t>追责办公室人员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jc w:val="center"/>
              <w:rPr>
                <w:rFonts w:hint="default"/>
                <w:sz w:val="21"/>
                <w:szCs w:val="21"/>
                <w:vertAlign w:val="baseline"/>
                <w:lang w:val="en-US" w:eastAsia="zh-CN"/>
              </w:rPr>
            </w:pPr>
            <w:r>
              <w:rPr>
                <w:rFonts w:hint="eastAsia"/>
                <w:sz w:val="21"/>
                <w:szCs w:val="21"/>
                <w:vertAlign w:val="baseline"/>
                <w:lang w:val="en-US" w:eastAsia="zh-CN"/>
              </w:rPr>
              <w:t>核查处理</w:t>
            </w:r>
          </w:p>
        </w:tc>
        <w:tc>
          <w:tcPr>
            <w:tcW w:w="5652" w:type="dxa"/>
            <w:vAlign w:val="center"/>
          </w:tcPr>
          <w:p>
            <w:pPr>
              <w:pStyle w:val="5"/>
              <w:ind w:left="0" w:leftChars="0" w:firstLine="0" w:firstLineChars="0"/>
              <w:rPr>
                <w:rFonts w:hint="default"/>
                <w:sz w:val="21"/>
                <w:szCs w:val="21"/>
                <w:vertAlign w:val="baseline"/>
                <w:lang w:val="en-US" w:eastAsia="zh-CN"/>
              </w:rPr>
            </w:pPr>
            <w:r>
              <w:rPr>
                <w:rFonts w:hint="eastAsia"/>
                <w:sz w:val="21"/>
                <w:szCs w:val="21"/>
                <w:vertAlign w:val="baseline"/>
                <w:lang w:val="en-US" w:eastAsia="zh-CN"/>
              </w:rPr>
              <w:t>在开展问题线索核查前，应按程序组建核查组，可聘请会计事务所、资产评估事务所、律师事务所等中介机构参与核查工作，提供审计、评估、鉴证和法律意见服务。核查报告需经集团党委会审议后，明确处理决定。</w:t>
            </w:r>
          </w:p>
        </w:tc>
        <w:tc>
          <w:tcPr>
            <w:tcW w:w="1820" w:type="dxa"/>
            <w:vAlign w:val="center"/>
          </w:tcPr>
          <w:p>
            <w:pPr>
              <w:pStyle w:val="5"/>
              <w:ind w:left="0" w:leftChars="0" w:firstLine="0" w:firstLineChars="0"/>
              <w:rPr>
                <w:rFonts w:hint="default"/>
                <w:sz w:val="21"/>
                <w:szCs w:val="21"/>
                <w:vertAlign w:val="baseline"/>
                <w:lang w:val="en-US" w:eastAsia="zh-CN"/>
              </w:rPr>
            </w:pPr>
            <w:r>
              <w:rPr>
                <w:rFonts w:hint="eastAsia"/>
                <w:sz w:val="21"/>
                <w:szCs w:val="21"/>
                <w:vertAlign w:val="baseline"/>
                <w:lang w:val="en-US" w:eastAsia="zh-CN"/>
              </w:rPr>
              <w:t>核查组人员，党委会成员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jc w:val="center"/>
              <w:rPr>
                <w:rFonts w:hint="default"/>
                <w:sz w:val="21"/>
                <w:szCs w:val="21"/>
                <w:vertAlign w:val="baseline"/>
                <w:lang w:val="en-US" w:eastAsia="zh-CN"/>
              </w:rPr>
            </w:pPr>
            <w:r>
              <w:rPr>
                <w:rFonts w:hint="eastAsia"/>
                <w:sz w:val="21"/>
                <w:szCs w:val="21"/>
                <w:vertAlign w:val="baseline"/>
                <w:lang w:val="en-US" w:eastAsia="zh-CN"/>
              </w:rPr>
              <w:t>问题整改</w:t>
            </w:r>
          </w:p>
        </w:tc>
        <w:tc>
          <w:tcPr>
            <w:tcW w:w="5652" w:type="dxa"/>
            <w:vAlign w:val="center"/>
          </w:tcPr>
          <w:p>
            <w:pPr>
              <w:pStyle w:val="5"/>
              <w:ind w:left="0" w:leftChars="0" w:firstLine="0" w:firstLineChars="0"/>
              <w:rPr>
                <w:rFonts w:hint="default"/>
                <w:sz w:val="21"/>
                <w:szCs w:val="21"/>
                <w:vertAlign w:val="baseline"/>
                <w:lang w:val="en-US" w:eastAsia="zh-CN"/>
              </w:rPr>
            </w:pPr>
            <w:r>
              <w:rPr>
                <w:rFonts w:hint="eastAsia"/>
                <w:sz w:val="21"/>
                <w:szCs w:val="21"/>
                <w:vertAlign w:val="baseline"/>
                <w:lang w:val="en-US" w:eastAsia="zh-CN"/>
              </w:rPr>
              <w:t>由集团公司下发整改通知，明确存在的问题、明确整改意见和工作要求，涉及的相关部门需制定工作方案并自收到处理决定之日起60个工作日内报送整改报告及相关材料。</w:t>
            </w:r>
          </w:p>
        </w:tc>
        <w:tc>
          <w:tcPr>
            <w:tcW w:w="1820" w:type="dxa"/>
            <w:vAlign w:val="center"/>
          </w:tcPr>
          <w:p>
            <w:pPr>
              <w:pStyle w:val="5"/>
              <w:ind w:left="0" w:leftChars="0" w:firstLine="0" w:firstLineChars="0"/>
              <w:rPr>
                <w:rFonts w:hint="default"/>
                <w:sz w:val="21"/>
                <w:szCs w:val="21"/>
                <w:vertAlign w:val="baseline"/>
                <w:lang w:val="en-US" w:eastAsia="zh-CN"/>
              </w:rPr>
            </w:pPr>
            <w:r>
              <w:rPr>
                <w:rFonts w:hint="eastAsia"/>
                <w:sz w:val="21"/>
                <w:szCs w:val="21"/>
                <w:vertAlign w:val="baseline"/>
                <w:lang w:val="en-US" w:eastAsia="zh-CN"/>
              </w:rPr>
              <w:t>相关部门人员</w:t>
            </w:r>
          </w:p>
        </w:tc>
      </w:tr>
    </w:tbl>
    <w:p>
      <w:pPr>
        <w:pStyle w:val="5"/>
      </w:pPr>
    </w:p>
    <w:p>
      <w:pPr>
        <w:pStyle w:val="9"/>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流程图</w:t>
      </w:r>
    </w:p>
    <w:p>
      <w:pPr>
        <w:pStyle w:val="5"/>
        <w:rPr>
          <w:rFonts w:hint="default"/>
          <w:b/>
          <w:bCs/>
          <w:sz w:val="24"/>
          <w:szCs w:val="24"/>
          <w:lang w:val="en-US" w:eastAsia="zh-CN"/>
        </w:rPr>
      </w:pPr>
      <w:r>
        <w:rPr>
          <w:rFonts w:hint="eastAsia" w:cs="Times New Roman"/>
          <w:b/>
          <w:bCs/>
          <w:kern w:val="2"/>
          <w:sz w:val="24"/>
          <w:szCs w:val="24"/>
          <w:lang w:val="en-US" w:eastAsia="zh-CN" w:bidi="ar-SA"/>
        </w:rPr>
        <w:t>1、违规经营追责流程图</w:t>
      </w:r>
    </w:p>
    <w:p>
      <w:pPr>
        <w:pStyle w:val="5"/>
        <w:ind w:left="0" w:leftChars="0" w:firstLine="0" w:firstLineChars="0"/>
        <w:rPr>
          <w:rFonts w:ascii="宋体" w:hAnsi="宋体" w:eastAsia="宋体" w:cs="宋体"/>
          <w:sz w:val="24"/>
          <w:szCs w:val="24"/>
        </w:rPr>
      </w:pPr>
      <w:r>
        <w:rPr>
          <w:rFonts w:ascii="宋体" w:hAnsi="宋体" w:eastAsia="宋体" w:cs="宋体"/>
          <w:sz w:val="24"/>
          <w:szCs w:val="24"/>
        </w:rPr>
        <w:drawing>
          <wp:inline distT="0" distB="0" distL="114300" distR="114300">
            <wp:extent cx="5572125" cy="9023985"/>
            <wp:effectExtent l="0" t="0" r="0" b="13335"/>
            <wp:docPr id="16"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descr="IMG_256"/>
                    <pic:cNvPicPr>
                      <a:picLocks noChangeAspect="1"/>
                    </pic:cNvPicPr>
                  </pic:nvPicPr>
                  <pic:blipFill>
                    <a:blip r:embed="rId14"/>
                    <a:stretch>
                      <a:fillRect/>
                    </a:stretch>
                  </pic:blipFill>
                  <pic:spPr>
                    <a:xfrm>
                      <a:off x="0" y="0"/>
                      <a:ext cx="5572125" cy="9023985"/>
                    </a:xfrm>
                    <a:prstGeom prst="rect">
                      <a:avLst/>
                    </a:prstGeom>
                    <a:noFill/>
                    <a:ln w="9525">
                      <a:noFill/>
                    </a:ln>
                  </pic:spPr>
                </pic:pic>
              </a:graphicData>
            </a:graphic>
          </wp:inline>
        </w:drawing>
      </w:r>
    </w:p>
    <w:p>
      <w:pPr>
        <w:pStyle w:val="5"/>
        <w:ind w:left="0" w:leftChars="0" w:firstLine="0" w:firstLineChars="0"/>
        <w:rPr>
          <w:rFonts w:hint="default" w:ascii="宋体" w:hAnsi="宋体" w:eastAsia="宋体" w:cs="宋体"/>
          <w:b/>
          <w:bCs/>
          <w:sz w:val="24"/>
          <w:szCs w:val="24"/>
          <w:lang w:val="en-US" w:eastAsia="zh-CN"/>
        </w:rPr>
      </w:pPr>
      <w:r>
        <w:rPr>
          <w:rFonts w:hint="eastAsia" w:ascii="宋体" w:hAnsi="宋体" w:cs="宋体"/>
          <w:b/>
          <w:bCs/>
          <w:sz w:val="24"/>
          <w:szCs w:val="24"/>
          <w:lang w:val="en-US" w:eastAsia="zh-CN"/>
        </w:rPr>
        <w:t>流程说明：</w:t>
      </w:r>
    </w:p>
    <w:tbl>
      <w:tblPr>
        <w:tblStyle w:val="33"/>
        <w:tblW w:w="893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72" w:type="dxa"/>
          <w:bottom w:w="0" w:type="dxa"/>
          <w:right w:w="72" w:type="dxa"/>
        </w:tblCellMar>
      </w:tblPr>
      <w:tblGrid>
        <w:gridCol w:w="1129"/>
        <w:gridCol w:w="1293"/>
        <w:gridCol w:w="1801"/>
        <w:gridCol w:w="1697"/>
        <w:gridCol w:w="725"/>
        <w:gridCol w:w="1075"/>
        <w:gridCol w:w="121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8932" w:type="dxa"/>
            <w:gridSpan w:val="7"/>
            <w:tcBorders>
              <w:top w:val="single" w:color="auto" w:sz="12" w:space="0"/>
              <w:left w:val="single" w:color="auto" w:sz="12" w:space="0"/>
              <w:bottom w:val="single" w:color="auto" w:sz="8" w:space="0"/>
              <w:right w:val="single" w:color="auto" w:sz="12" w:space="0"/>
            </w:tcBorders>
            <w:shd w:val="clear" w:color="auto" w:fill="EAEAEA"/>
            <w:vAlign w:val="center"/>
          </w:tcPr>
          <w:p>
            <w:pPr>
              <w:pStyle w:val="94"/>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流程编号：</w:t>
            </w:r>
            <w:r>
              <w:rPr>
                <w:rFonts w:hint="eastAsia" w:asciiTheme="minorEastAsia" w:hAnsiTheme="minorEastAsia" w:eastAsiaTheme="minorEastAsia" w:cstheme="minorEastAsia"/>
                <w:color w:val="000000"/>
                <w:sz w:val="21"/>
                <w:szCs w:val="21"/>
                <w:lang w:val="en-US" w:eastAsia="zh-CN"/>
              </w:rPr>
              <w:t>FP_IO_001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8932" w:type="dxa"/>
            <w:gridSpan w:val="7"/>
            <w:tcBorders>
              <w:top w:val="single" w:color="auto" w:sz="8" w:space="0"/>
              <w:left w:val="single" w:color="auto" w:sz="12" w:space="0"/>
              <w:bottom w:val="single" w:color="auto" w:sz="8" w:space="0"/>
              <w:right w:val="single" w:color="auto" w:sz="12" w:space="0"/>
            </w:tcBorders>
            <w:shd w:val="clear" w:color="auto" w:fill="EAEAEA"/>
            <w:vAlign w:val="center"/>
          </w:tcPr>
          <w:p>
            <w:pPr>
              <w:pStyle w:val="94"/>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流程名称：违规经营追责流程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8932" w:type="dxa"/>
            <w:gridSpan w:val="7"/>
            <w:tcBorders>
              <w:top w:val="single" w:color="auto" w:sz="8" w:space="0"/>
              <w:left w:val="single" w:color="auto" w:sz="12" w:space="0"/>
              <w:bottom w:val="single" w:color="auto" w:sz="12" w:space="0"/>
              <w:right w:val="single" w:color="auto" w:sz="12" w:space="0"/>
            </w:tcBorders>
            <w:shd w:val="clear" w:color="auto" w:fill="EAEAEA"/>
            <w:vAlign w:val="center"/>
          </w:tcPr>
          <w:p>
            <w:pPr>
              <w:pStyle w:val="94"/>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流程版本：v</w:t>
            </w:r>
            <w:r>
              <w:rPr>
                <w:rFonts w:hint="eastAsia" w:asciiTheme="minorEastAsia" w:hAnsiTheme="minorEastAsia" w:eastAsiaTheme="minorEastAsia" w:cstheme="minorEastAsia"/>
                <w:color w:val="000000"/>
                <w:sz w:val="21"/>
                <w:szCs w:val="21"/>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1129" w:type="dxa"/>
            <w:tcBorders>
              <w:top w:val="single" w:color="auto" w:sz="12" w:space="0"/>
              <w:left w:val="single" w:color="auto" w:sz="12" w:space="0"/>
              <w:bottom w:val="single" w:color="auto" w:sz="6" w:space="0"/>
              <w:right w:val="single" w:color="auto" w:sz="6" w:space="0"/>
            </w:tcBorders>
            <w:shd w:val="clear" w:color="auto" w:fill="EAEAEA"/>
            <w:vAlign w:val="center"/>
          </w:tcPr>
          <w:p>
            <w:pPr>
              <w:pStyle w:val="94"/>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步骤编号</w:t>
            </w:r>
          </w:p>
        </w:tc>
        <w:tc>
          <w:tcPr>
            <w:tcW w:w="1293" w:type="dxa"/>
            <w:tcBorders>
              <w:top w:val="single" w:color="auto" w:sz="12" w:space="0"/>
              <w:left w:val="single" w:color="auto" w:sz="6" w:space="0"/>
              <w:bottom w:val="single" w:color="auto" w:sz="6" w:space="0"/>
              <w:right w:val="single" w:color="auto" w:sz="8" w:space="0"/>
            </w:tcBorders>
            <w:shd w:val="clear" w:color="auto" w:fill="EAEAEA"/>
            <w:vAlign w:val="center"/>
          </w:tcPr>
          <w:p>
            <w:pPr>
              <w:pStyle w:val="94"/>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步骤名称</w:t>
            </w:r>
          </w:p>
        </w:tc>
        <w:tc>
          <w:tcPr>
            <w:tcW w:w="1801" w:type="dxa"/>
            <w:tcBorders>
              <w:top w:val="single" w:color="auto" w:sz="12" w:space="0"/>
              <w:left w:val="single" w:color="auto" w:sz="8" w:space="0"/>
              <w:bottom w:val="single" w:color="auto" w:sz="6" w:space="0"/>
              <w:right w:val="single" w:color="auto" w:sz="6" w:space="0"/>
            </w:tcBorders>
            <w:shd w:val="clear" w:color="auto" w:fill="EAEAEA"/>
            <w:vAlign w:val="center"/>
          </w:tcPr>
          <w:p>
            <w:pPr>
              <w:pStyle w:val="94"/>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业务过程描述</w:t>
            </w:r>
          </w:p>
        </w:tc>
        <w:tc>
          <w:tcPr>
            <w:tcW w:w="1697" w:type="dxa"/>
            <w:tcBorders>
              <w:top w:val="single" w:color="auto" w:sz="12" w:space="0"/>
              <w:left w:val="single" w:color="auto" w:sz="8" w:space="0"/>
              <w:bottom w:val="single" w:color="auto" w:sz="6" w:space="0"/>
              <w:right w:val="single" w:color="auto" w:sz="6" w:space="0"/>
            </w:tcBorders>
            <w:shd w:val="clear" w:color="auto" w:fill="EAEAEA"/>
            <w:vAlign w:val="center"/>
          </w:tcPr>
          <w:p>
            <w:pPr>
              <w:pStyle w:val="94"/>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责任部门/岗位</w:t>
            </w:r>
          </w:p>
        </w:tc>
        <w:tc>
          <w:tcPr>
            <w:tcW w:w="725" w:type="dxa"/>
            <w:tcBorders>
              <w:top w:val="single" w:color="auto" w:sz="12" w:space="0"/>
              <w:left w:val="single" w:color="auto" w:sz="6" w:space="0"/>
              <w:bottom w:val="single" w:color="auto" w:sz="6" w:space="0"/>
              <w:right w:val="single" w:color="auto" w:sz="8" w:space="0"/>
            </w:tcBorders>
            <w:shd w:val="clear" w:color="auto" w:fill="EAEAEA"/>
            <w:vAlign w:val="center"/>
          </w:tcPr>
          <w:p>
            <w:pPr>
              <w:pStyle w:val="94"/>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处理方式</w:t>
            </w:r>
          </w:p>
        </w:tc>
        <w:tc>
          <w:tcPr>
            <w:tcW w:w="1075" w:type="dxa"/>
            <w:tcBorders>
              <w:top w:val="single" w:color="auto" w:sz="12" w:space="0"/>
              <w:left w:val="single" w:color="auto" w:sz="6" w:space="0"/>
              <w:bottom w:val="single" w:color="auto" w:sz="6" w:space="0"/>
              <w:right w:val="single" w:color="auto" w:sz="8" w:space="0"/>
            </w:tcBorders>
            <w:shd w:val="clear" w:color="auto" w:fill="EAEAEA"/>
            <w:vAlign w:val="center"/>
          </w:tcPr>
          <w:p>
            <w:pPr>
              <w:pStyle w:val="94"/>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输入文档</w:t>
            </w:r>
          </w:p>
        </w:tc>
        <w:tc>
          <w:tcPr>
            <w:tcW w:w="1212" w:type="dxa"/>
            <w:tcBorders>
              <w:top w:val="single" w:color="auto" w:sz="12" w:space="0"/>
              <w:left w:val="single" w:color="auto" w:sz="8" w:space="0"/>
              <w:bottom w:val="single" w:color="auto" w:sz="6" w:space="0"/>
              <w:right w:val="single" w:color="auto" w:sz="12" w:space="0"/>
            </w:tcBorders>
            <w:shd w:val="clear" w:color="auto" w:fill="EAEAEA"/>
            <w:vAlign w:val="center"/>
          </w:tcPr>
          <w:p>
            <w:pPr>
              <w:pStyle w:val="94"/>
              <w:spacing w:line="360" w:lineRule="auto"/>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输出文档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60" w:hRule="exact"/>
        </w:trPr>
        <w:tc>
          <w:tcPr>
            <w:tcW w:w="1129" w:type="dxa"/>
            <w:tcBorders>
              <w:top w:val="single" w:color="auto" w:sz="6" w:space="0"/>
              <w:left w:val="nil"/>
              <w:bottom w:val="single" w:color="auto" w:sz="6" w:space="0"/>
              <w:right w:val="single" w:color="auto" w:sz="6" w:space="0"/>
            </w:tcBorders>
            <w:shd w:val="pct50" w:color="auto" w:fill="auto"/>
            <w:vAlign w:val="center"/>
          </w:tcPr>
          <w:p>
            <w:pPr>
              <w:pStyle w:val="93"/>
              <w:spacing w:line="360" w:lineRule="auto"/>
              <w:jc w:val="both"/>
              <w:rPr>
                <w:rFonts w:hint="eastAsia" w:asciiTheme="minorEastAsia" w:hAnsiTheme="minorEastAsia" w:eastAsiaTheme="minorEastAsia" w:cstheme="minorEastAsia"/>
                <w:color w:val="000000"/>
                <w:sz w:val="21"/>
                <w:szCs w:val="21"/>
              </w:rPr>
            </w:pPr>
          </w:p>
        </w:tc>
        <w:tc>
          <w:tcPr>
            <w:tcW w:w="1293" w:type="dxa"/>
            <w:tcBorders>
              <w:top w:val="single" w:color="auto" w:sz="6" w:space="0"/>
              <w:left w:val="single" w:color="auto" w:sz="6" w:space="0"/>
              <w:bottom w:val="single" w:color="auto" w:sz="6" w:space="0"/>
              <w:right w:val="single" w:color="auto" w:sz="8" w:space="0"/>
            </w:tcBorders>
            <w:shd w:val="pct50" w:color="auto" w:fill="auto"/>
            <w:vAlign w:val="center"/>
          </w:tcPr>
          <w:p>
            <w:pPr>
              <w:pStyle w:val="93"/>
              <w:spacing w:line="360" w:lineRule="auto"/>
              <w:jc w:val="both"/>
              <w:rPr>
                <w:rFonts w:hint="eastAsia" w:asciiTheme="minorEastAsia" w:hAnsiTheme="minorEastAsia" w:eastAsiaTheme="minorEastAsia" w:cstheme="minorEastAsia"/>
                <w:color w:val="000000"/>
                <w:sz w:val="21"/>
                <w:szCs w:val="21"/>
              </w:rPr>
            </w:pPr>
          </w:p>
        </w:tc>
        <w:tc>
          <w:tcPr>
            <w:tcW w:w="1801" w:type="dxa"/>
            <w:tcBorders>
              <w:top w:val="single" w:color="auto" w:sz="6" w:space="0"/>
              <w:left w:val="single" w:color="auto" w:sz="8" w:space="0"/>
              <w:bottom w:val="single" w:color="auto" w:sz="6" w:space="0"/>
              <w:right w:val="single" w:color="auto" w:sz="6" w:space="0"/>
            </w:tcBorders>
            <w:shd w:val="pct50" w:color="auto" w:fill="auto"/>
            <w:vAlign w:val="center"/>
          </w:tcPr>
          <w:p>
            <w:pPr>
              <w:pStyle w:val="93"/>
              <w:spacing w:line="360" w:lineRule="auto"/>
              <w:jc w:val="both"/>
              <w:rPr>
                <w:rFonts w:hint="eastAsia" w:asciiTheme="minorEastAsia" w:hAnsiTheme="minorEastAsia" w:eastAsiaTheme="minorEastAsia" w:cstheme="minorEastAsia"/>
                <w:color w:val="000000"/>
                <w:sz w:val="21"/>
                <w:szCs w:val="21"/>
              </w:rPr>
            </w:pPr>
          </w:p>
        </w:tc>
        <w:tc>
          <w:tcPr>
            <w:tcW w:w="1697" w:type="dxa"/>
            <w:tcBorders>
              <w:top w:val="single" w:color="auto" w:sz="6" w:space="0"/>
              <w:left w:val="single" w:color="auto" w:sz="8" w:space="0"/>
              <w:bottom w:val="single" w:color="auto" w:sz="6" w:space="0"/>
              <w:right w:val="single" w:color="auto" w:sz="6" w:space="0"/>
            </w:tcBorders>
            <w:shd w:val="pct50" w:color="auto" w:fill="auto"/>
            <w:vAlign w:val="center"/>
          </w:tcPr>
          <w:p>
            <w:pPr>
              <w:pStyle w:val="93"/>
              <w:spacing w:line="360" w:lineRule="auto"/>
              <w:jc w:val="both"/>
              <w:rPr>
                <w:rFonts w:hint="eastAsia" w:asciiTheme="minorEastAsia" w:hAnsiTheme="minorEastAsia" w:eastAsiaTheme="minorEastAsia" w:cstheme="minorEastAsia"/>
                <w:color w:val="000000"/>
                <w:sz w:val="21"/>
                <w:szCs w:val="21"/>
              </w:rPr>
            </w:pPr>
          </w:p>
        </w:tc>
        <w:tc>
          <w:tcPr>
            <w:tcW w:w="725" w:type="dxa"/>
            <w:tcBorders>
              <w:top w:val="single" w:color="auto" w:sz="6" w:space="0"/>
              <w:left w:val="single" w:color="auto" w:sz="6" w:space="0"/>
              <w:bottom w:val="single" w:color="auto" w:sz="6" w:space="0"/>
              <w:right w:val="single" w:color="auto" w:sz="8" w:space="0"/>
            </w:tcBorders>
            <w:shd w:val="pct50" w:color="auto" w:fill="auto"/>
            <w:vAlign w:val="center"/>
          </w:tcPr>
          <w:p>
            <w:pPr>
              <w:pStyle w:val="93"/>
              <w:spacing w:line="360" w:lineRule="auto"/>
              <w:jc w:val="both"/>
              <w:rPr>
                <w:rFonts w:hint="eastAsia" w:asciiTheme="minorEastAsia" w:hAnsiTheme="minorEastAsia" w:eastAsiaTheme="minorEastAsia" w:cstheme="minorEastAsia"/>
                <w:color w:val="000000"/>
                <w:sz w:val="21"/>
                <w:szCs w:val="21"/>
              </w:rPr>
            </w:pPr>
          </w:p>
        </w:tc>
        <w:tc>
          <w:tcPr>
            <w:tcW w:w="1075" w:type="dxa"/>
            <w:tcBorders>
              <w:top w:val="single" w:color="auto" w:sz="6" w:space="0"/>
              <w:left w:val="single" w:color="auto" w:sz="6" w:space="0"/>
              <w:bottom w:val="single" w:color="auto" w:sz="6" w:space="0"/>
              <w:right w:val="single" w:color="auto" w:sz="8" w:space="0"/>
            </w:tcBorders>
            <w:shd w:val="pct50" w:color="auto" w:fill="auto"/>
            <w:vAlign w:val="center"/>
          </w:tcPr>
          <w:p>
            <w:pPr>
              <w:pStyle w:val="93"/>
              <w:spacing w:line="360" w:lineRule="auto"/>
              <w:jc w:val="both"/>
              <w:rPr>
                <w:rFonts w:hint="eastAsia" w:asciiTheme="minorEastAsia" w:hAnsiTheme="minorEastAsia" w:eastAsiaTheme="minorEastAsia" w:cstheme="minorEastAsia"/>
                <w:color w:val="000000"/>
                <w:sz w:val="21"/>
                <w:szCs w:val="21"/>
              </w:rPr>
            </w:pPr>
          </w:p>
        </w:tc>
        <w:tc>
          <w:tcPr>
            <w:tcW w:w="1212" w:type="dxa"/>
            <w:tcBorders>
              <w:top w:val="single" w:color="auto" w:sz="6" w:space="0"/>
              <w:left w:val="single" w:color="auto" w:sz="8" w:space="0"/>
              <w:bottom w:val="single" w:color="auto" w:sz="6" w:space="0"/>
              <w:right w:val="nil"/>
            </w:tcBorders>
            <w:shd w:val="pct50" w:color="auto" w:fill="auto"/>
            <w:vAlign w:val="center"/>
          </w:tcPr>
          <w:p>
            <w:pPr>
              <w:pStyle w:val="93"/>
              <w:spacing w:line="360" w:lineRule="auto"/>
              <w:jc w:val="both"/>
              <w:rPr>
                <w:rFonts w:hint="eastAsia" w:asciiTheme="minorEastAsia" w:hAnsiTheme="minorEastAsia" w:eastAsiaTheme="minorEastAsia" w:cstheme="minorEastAsia"/>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A1_</w:t>
            </w:r>
            <w:r>
              <w:rPr>
                <w:rFonts w:hint="eastAsia" w:asciiTheme="minorEastAsia" w:hAnsiTheme="minorEastAsia" w:eastAsiaTheme="minorEastAsia" w:cstheme="minorEastAsia"/>
                <w:color w:val="000000"/>
                <w:sz w:val="21"/>
                <w:szCs w:val="21"/>
              </w:rPr>
              <w:t>01</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移送问题线索</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受理登记问题线索</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市国资委、外部审计、巡视巡察、纪检监察等</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线下处理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问题线索清单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A1_</w:t>
            </w:r>
            <w:r>
              <w:rPr>
                <w:rFonts w:hint="eastAsia" w:asciiTheme="minorEastAsia" w:hAnsiTheme="minorEastAsia" w:eastAsiaTheme="minorEastAsia" w:cstheme="minorEastAsia"/>
                <w:color w:val="000000"/>
                <w:sz w:val="21"/>
                <w:szCs w:val="21"/>
              </w:rPr>
              <w:t>02</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受理、登记问题线索</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接受问题线索清单，受理并等问题线索</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审计法务部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问题线索清单</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问题线索台账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A1_</w:t>
            </w:r>
            <w:r>
              <w:rPr>
                <w:rFonts w:hint="eastAsia" w:asciiTheme="minorEastAsia" w:hAnsiTheme="minorEastAsia" w:eastAsiaTheme="minorEastAsia" w:cstheme="minorEastAsia"/>
                <w:color w:val="000000"/>
                <w:sz w:val="21"/>
                <w:szCs w:val="21"/>
              </w:rPr>
              <w:t>03</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启动初步核实程序</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明确问题后启动初步核实程序</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审计法务部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线下处理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A1_</w:t>
            </w:r>
            <w:r>
              <w:rPr>
                <w:rFonts w:hint="eastAsia" w:asciiTheme="minorEastAsia" w:hAnsiTheme="minorEastAsia" w:eastAsiaTheme="minorEastAsia" w:cstheme="minorEastAsia"/>
                <w:color w:val="000000"/>
                <w:sz w:val="21"/>
                <w:szCs w:val="21"/>
              </w:rPr>
              <w:t>04</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制定初步核实方案</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制定</w:t>
            </w:r>
            <w:r>
              <w:rPr>
                <w:rFonts w:hint="eastAsia" w:asciiTheme="minorEastAsia" w:hAnsiTheme="minorEastAsia" w:eastAsiaTheme="minorEastAsia" w:cstheme="minorEastAsia"/>
                <w:color w:val="000000"/>
                <w:sz w:val="21"/>
                <w:szCs w:val="21"/>
                <w:lang w:val="en-US" w:eastAsia="zh-CN"/>
              </w:rPr>
              <w:t>初步核实方案，呈报分管领导审批</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审计法务部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初步核实方案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A1_05</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开展初步核实</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成立初步核实工作组，通过谈话、查阅资料开展核实</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审计法务部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线下处理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调查取证记录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A1_</w:t>
            </w:r>
            <w:r>
              <w:rPr>
                <w:rFonts w:hint="eastAsia" w:asciiTheme="minorEastAsia" w:hAnsiTheme="minorEastAsia" w:eastAsiaTheme="minorEastAsia" w:cstheme="minorEastAsia"/>
                <w:color w:val="000000"/>
                <w:sz w:val="21"/>
                <w:szCs w:val="21"/>
              </w:rPr>
              <w:t>06</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形成初步核实报告</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依据调查取证核实记录，编制初步核实报告，提出工作建议</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审计法务部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初步核实报告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A1_07</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未发现问题，予以了结</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未发现应当追责情形的，经审批程序后予以了结</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线下处理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初步核实报告</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A1_08</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明确违规或涉嫌违法违纪</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确有违规事实或涉嫌违纪违法的，提出分类处置建议，经审批程序后组织实施</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线下处理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初步核实报告</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A1_09</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责任明确、直接处理</w:t>
            </w:r>
          </w:p>
        </w:tc>
        <w:tc>
          <w:tcPr>
            <w:tcW w:w="1801" w:type="dxa"/>
            <w:tcBorders>
              <w:top w:val="single" w:color="auto" w:sz="6" w:space="0"/>
              <w:left w:val="single" w:color="auto" w:sz="8"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kern w:val="0"/>
                <w:sz w:val="21"/>
                <w:szCs w:val="21"/>
                <w:lang w:val="en-US" w:eastAsia="zh-CN" w:bidi="ar-SA"/>
              </w:rPr>
            </w:pPr>
            <w:r>
              <w:rPr>
                <w:rFonts w:hint="eastAsia" w:asciiTheme="minorEastAsia" w:hAnsiTheme="minorEastAsia" w:eastAsiaTheme="minorEastAsia" w:cstheme="minorEastAsia"/>
                <w:color w:val="000000"/>
                <w:kern w:val="0"/>
                <w:sz w:val="21"/>
                <w:szCs w:val="21"/>
                <w:lang w:val="en-US" w:eastAsia="zh-CN" w:bidi="ar-SA"/>
              </w:rPr>
              <w:t>违规事实、损失情况、责任认定明确的，可适用简易程序，直接提出处理建议，经追责领导机构、党委会会议审议后，开展处理和整改</w:t>
            </w:r>
          </w:p>
          <w:p>
            <w:pPr>
              <w:pStyle w:val="93"/>
              <w:spacing w:line="360" w:lineRule="auto"/>
              <w:jc w:val="both"/>
              <w:rPr>
                <w:rFonts w:hint="eastAsia" w:asciiTheme="minorEastAsia" w:hAnsiTheme="minorEastAsia" w:eastAsiaTheme="minorEastAsia" w:cstheme="minorEastAsia"/>
                <w:color w:val="000000"/>
                <w:sz w:val="21"/>
                <w:szCs w:val="21"/>
              </w:rPr>
            </w:pP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线下处理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初步核实报告</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A1_10</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制定核查方案</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制定核查方案，报分管领导审批后成立核查工作组实施核查</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核查方案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A1_11</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调查取证</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通过听取汇报、要求说明、查阅资料、查核鉴定、谈话等措施开展核查，核实违规情形、确定损失及后果、倒查原因、认定责任、提出处理建议</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核查工作组</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线下处理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核查方案</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调查取证记录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A1_12</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听取意见</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就违规事实和责任认定情况向被核查企业和相关责任人听取意见</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核查工作组，被核查企业</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线下处理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调查取证记录</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A1_13</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形成核查报告</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形成核查报告，提出责任追究处理建议，处理建议应当征求人事、薪酬管理等有关部门意见</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核查工作组</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核查报告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A1_14</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落实执行相关处理</w:t>
            </w:r>
          </w:p>
        </w:tc>
        <w:tc>
          <w:tcPr>
            <w:tcW w:w="1801" w:type="dxa"/>
            <w:tcBorders>
              <w:top w:val="single" w:color="auto" w:sz="6" w:space="0"/>
              <w:left w:val="single" w:color="auto" w:sz="8"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val="en-US" w:eastAsia="zh-CN" w:bidi="ar-SA"/>
              </w:rPr>
              <w:t>追责机构配合组织人事部门、薪酬管理部门等落实执行相关处理决定。在企业内部禁入限制的，报市国资委备案；拟在市属重点国有企业范围禁入限制的，报市国资委处理</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线下处理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A1_15</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报送国资委</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属于市国资委移送问题线索的，将核查报告等相关材料报送市国资委</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线下处理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问题线索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A1_16</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申诉复核</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被处理人有异议的在处理决定送达之日起15个工作日内提出书面申诉，受理申诉后30个工作日内作出复核决定，并书面告知申诉人及相关企业</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审计法务部、被核查企业</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核查报告</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申诉文件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A1_17</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下发整改通知书</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向相关企业印发整改通知，指出问题、明确整改意见和工作要求。针对突出问题，提出管理提升建议书</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核查报告</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整改通知书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A1_18</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制定整改工作方案并开展整改，报送整改工作报告</w:t>
            </w:r>
          </w:p>
        </w:tc>
        <w:tc>
          <w:tcPr>
            <w:tcW w:w="1801" w:type="dxa"/>
            <w:tcBorders>
              <w:top w:val="single" w:color="auto" w:sz="6" w:space="0"/>
              <w:left w:val="single" w:color="auto" w:sz="8"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kern w:val="0"/>
                <w:sz w:val="21"/>
                <w:szCs w:val="21"/>
                <w:lang w:val="en-US" w:eastAsia="zh-CN" w:bidi="ar-SA"/>
              </w:rPr>
              <w:t>督促相关企业制定整改工作方案，落实整改并报送整改报告和相关材料</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审计法务部、被核查单位</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整改通知书</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整改工作方案、整改工作报告</w:t>
            </w:r>
          </w:p>
        </w:tc>
      </w:tr>
    </w:tbl>
    <w:p>
      <w:pPr>
        <w:pStyle w:val="5"/>
        <w:rPr>
          <w:rFonts w:hint="eastAsia"/>
          <w:lang w:val="en-US" w:eastAsia="zh-CN"/>
        </w:rPr>
      </w:pPr>
    </w:p>
    <w:p>
      <w:pPr>
        <w:pStyle w:val="9"/>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用户业务需求</w:t>
      </w:r>
    </w:p>
    <w:tbl>
      <w:tblPr>
        <w:tblStyle w:val="33"/>
        <w:tblW w:w="893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72" w:type="dxa"/>
          <w:bottom w:w="0" w:type="dxa"/>
          <w:right w:w="72" w:type="dxa"/>
        </w:tblCellMar>
      </w:tblPr>
      <w:tblGrid>
        <w:gridCol w:w="1293"/>
        <w:gridCol w:w="763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1293" w:type="dxa"/>
            <w:tcBorders>
              <w:top w:val="single" w:color="auto" w:sz="4" w:space="0"/>
              <w:left w:val="single" w:color="auto" w:sz="4" w:space="0"/>
              <w:bottom w:val="single" w:color="auto" w:sz="4" w:space="0"/>
              <w:right w:val="single" w:color="auto" w:sz="4" w:space="0"/>
            </w:tcBorders>
            <w:shd w:val="clear" w:color="auto" w:fill="EAEAEA"/>
          </w:tcPr>
          <w:p>
            <w:pPr>
              <w:pStyle w:val="94"/>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需求编号</w:t>
            </w:r>
          </w:p>
        </w:tc>
        <w:tc>
          <w:tcPr>
            <w:tcW w:w="7639" w:type="dxa"/>
            <w:tcBorders>
              <w:top w:val="single" w:color="auto" w:sz="4" w:space="0"/>
              <w:left w:val="single" w:color="auto" w:sz="4" w:space="0"/>
              <w:bottom w:val="single" w:color="auto" w:sz="4" w:space="0"/>
              <w:right w:val="single" w:color="auto" w:sz="4" w:space="0"/>
            </w:tcBorders>
            <w:shd w:val="clear" w:color="auto" w:fill="EAEAEA"/>
          </w:tcPr>
          <w:p>
            <w:pPr>
              <w:pStyle w:val="94"/>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需求详细描述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60" w:hRule="exact"/>
        </w:trPr>
        <w:tc>
          <w:tcPr>
            <w:tcW w:w="1293" w:type="dxa"/>
            <w:tcBorders>
              <w:top w:val="single" w:color="auto" w:sz="4" w:space="0"/>
              <w:left w:val="nil"/>
              <w:bottom w:val="single" w:color="auto" w:sz="6" w:space="0"/>
              <w:right w:val="nil"/>
            </w:tcBorders>
            <w:shd w:val="pct50" w:color="auto" w:fill="auto"/>
          </w:tcPr>
          <w:p>
            <w:pPr>
              <w:pStyle w:val="93"/>
              <w:spacing w:line="360" w:lineRule="auto"/>
              <w:rPr>
                <w:rFonts w:asciiTheme="minorEastAsia" w:hAnsiTheme="minorEastAsia" w:eastAsiaTheme="minorEastAsia"/>
                <w:color w:val="000000"/>
                <w:sz w:val="21"/>
                <w:szCs w:val="21"/>
              </w:rPr>
            </w:pPr>
          </w:p>
        </w:tc>
        <w:tc>
          <w:tcPr>
            <w:tcW w:w="7639" w:type="dxa"/>
            <w:tcBorders>
              <w:top w:val="single" w:color="auto" w:sz="4" w:space="0"/>
              <w:left w:val="nil"/>
              <w:bottom w:val="single" w:color="auto" w:sz="6" w:space="0"/>
              <w:right w:val="nil"/>
            </w:tcBorders>
            <w:shd w:val="pct50" w:color="auto" w:fill="auto"/>
          </w:tcPr>
          <w:p>
            <w:pPr>
              <w:pStyle w:val="93"/>
              <w:spacing w:line="360" w:lineRule="auto"/>
              <w:rPr>
                <w:rFonts w:asciiTheme="minorEastAsia" w:hAnsiTheme="minorEastAsia" w:eastAsiaTheme="minorEastAsia"/>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293" w:type="dxa"/>
            <w:tcBorders>
              <w:top w:val="nil"/>
              <w:left w:val="single" w:color="auto" w:sz="12" w:space="0"/>
              <w:bottom w:val="single" w:color="auto" w:sz="6" w:space="0"/>
              <w:right w:val="single" w:color="auto" w:sz="6" w:space="0"/>
            </w:tcBorders>
            <w:vAlign w:val="center"/>
          </w:tcPr>
          <w:p>
            <w:pPr>
              <w:pStyle w:val="93"/>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1</w:t>
            </w:r>
          </w:p>
        </w:tc>
        <w:tc>
          <w:tcPr>
            <w:tcW w:w="7639" w:type="dxa"/>
            <w:tcBorders>
              <w:top w:val="nil"/>
              <w:left w:val="single" w:color="auto" w:sz="6" w:space="0"/>
              <w:bottom w:val="single" w:color="auto" w:sz="6" w:space="0"/>
              <w:right w:val="single" w:color="auto" w:sz="12" w:space="0"/>
            </w:tcBorders>
            <w:vAlign w:val="center"/>
          </w:tcPr>
          <w:p>
            <w:pPr>
              <w:pStyle w:val="93"/>
              <w:spacing w:line="360" w:lineRule="auto"/>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实现</w:t>
            </w:r>
            <w:r>
              <w:rPr>
                <w:rFonts w:hint="eastAsia" w:asciiTheme="minorEastAsia" w:hAnsiTheme="minorEastAsia" w:eastAsiaTheme="minorEastAsia"/>
                <w:color w:val="000000"/>
                <w:sz w:val="21"/>
                <w:szCs w:val="21"/>
              </w:rPr>
              <w:t>违规</w:t>
            </w:r>
            <w:r>
              <w:rPr>
                <w:rFonts w:hint="eastAsia" w:asciiTheme="minorEastAsia" w:hAnsiTheme="minorEastAsia" w:eastAsiaTheme="minorEastAsia"/>
                <w:color w:val="000000"/>
                <w:sz w:val="21"/>
                <w:szCs w:val="21"/>
                <w:lang w:val="en-US" w:eastAsia="zh-CN"/>
              </w:rPr>
              <w:t>经营追责问题从问题</w:t>
            </w:r>
            <w:r>
              <w:rPr>
                <w:rFonts w:hint="eastAsia" w:asciiTheme="minorEastAsia" w:hAnsiTheme="minorEastAsia" w:eastAsiaTheme="minorEastAsia"/>
                <w:color w:val="000000"/>
                <w:sz w:val="21"/>
                <w:szCs w:val="21"/>
              </w:rPr>
              <w:t>发现</w:t>
            </w:r>
            <w:r>
              <w:rPr>
                <w:rFonts w:hint="eastAsia" w:asciiTheme="minorEastAsia" w:hAnsiTheme="minorEastAsia" w:eastAsiaTheme="minorEastAsia"/>
                <w:color w:val="000000"/>
                <w:sz w:val="21"/>
                <w:szCs w:val="21"/>
                <w:lang w:eastAsia="zh-CN"/>
              </w:rPr>
              <w:t>、</w:t>
            </w:r>
            <w:r>
              <w:rPr>
                <w:rFonts w:hint="eastAsia" w:asciiTheme="minorEastAsia" w:hAnsiTheme="minorEastAsia" w:eastAsiaTheme="minorEastAsia"/>
                <w:color w:val="000000"/>
                <w:sz w:val="21"/>
                <w:szCs w:val="21"/>
                <w:lang w:val="en-US" w:eastAsia="zh-CN"/>
              </w:rPr>
              <w:t>问题受理登记、问题核实、问题</w:t>
            </w:r>
            <w:r>
              <w:rPr>
                <w:rFonts w:hint="eastAsia" w:asciiTheme="minorEastAsia" w:hAnsiTheme="minorEastAsia" w:eastAsiaTheme="minorEastAsia"/>
                <w:color w:val="000000"/>
                <w:sz w:val="21"/>
                <w:szCs w:val="21"/>
              </w:rPr>
              <w:t>整改</w:t>
            </w:r>
            <w:r>
              <w:rPr>
                <w:rFonts w:hint="eastAsia" w:asciiTheme="minorEastAsia" w:hAnsiTheme="minorEastAsia" w:eastAsiaTheme="minorEastAsia"/>
                <w:color w:val="000000"/>
                <w:sz w:val="21"/>
                <w:szCs w:val="21"/>
                <w:lang w:val="en-US" w:eastAsia="zh-CN"/>
              </w:rPr>
              <w:t>的全流程</w:t>
            </w:r>
            <w:r>
              <w:rPr>
                <w:rFonts w:hint="eastAsia" w:asciiTheme="minorEastAsia" w:hAnsiTheme="minorEastAsia" w:eastAsiaTheme="minorEastAsia"/>
                <w:color w:val="000000"/>
                <w:sz w:val="21"/>
                <w:szCs w:val="21"/>
              </w:rPr>
              <w:t>监督</w:t>
            </w:r>
            <w:r>
              <w:rPr>
                <w:rFonts w:hint="eastAsia" w:asciiTheme="minorEastAsia" w:hAnsiTheme="minorEastAsia" w:eastAsiaTheme="minorEastAsia"/>
                <w:color w:val="000000"/>
                <w:sz w:val="21"/>
                <w:szCs w:val="21"/>
                <w:lang w:val="en-US" w:eastAsia="zh-CN"/>
              </w:rPr>
              <w:t>管理</w:t>
            </w:r>
            <w:r>
              <w:rPr>
                <w:rFonts w:hint="eastAsia" w:asciiTheme="minorEastAsia" w:hAnsiTheme="minorEastAsia" w:eastAsiaTheme="minorEastAsia"/>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293" w:type="dxa"/>
            <w:tcBorders>
              <w:top w:val="nil"/>
              <w:left w:val="single" w:color="auto" w:sz="12" w:space="0"/>
              <w:bottom w:val="single" w:color="auto" w:sz="6" w:space="0"/>
              <w:right w:val="single" w:color="auto" w:sz="6" w:space="0"/>
            </w:tcBorders>
            <w:vAlign w:val="center"/>
          </w:tcPr>
          <w:p>
            <w:pPr>
              <w:pStyle w:val="93"/>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2</w:t>
            </w:r>
          </w:p>
        </w:tc>
        <w:tc>
          <w:tcPr>
            <w:tcW w:w="7639" w:type="dxa"/>
            <w:tcBorders>
              <w:top w:val="nil"/>
              <w:left w:val="single" w:color="auto" w:sz="6" w:space="0"/>
              <w:bottom w:val="single" w:color="auto" w:sz="6" w:space="0"/>
              <w:right w:val="single" w:color="auto" w:sz="12" w:space="0"/>
            </w:tcBorders>
            <w:vAlign w:val="center"/>
          </w:tcPr>
          <w:p>
            <w:pPr>
              <w:pStyle w:val="93"/>
              <w:spacing w:line="360" w:lineRule="auto"/>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实现</w:t>
            </w:r>
            <w:r>
              <w:rPr>
                <w:rFonts w:hint="eastAsia" w:asciiTheme="minorEastAsia" w:hAnsiTheme="minorEastAsia" w:eastAsiaTheme="minorEastAsia"/>
                <w:color w:val="000000"/>
                <w:sz w:val="21"/>
                <w:szCs w:val="21"/>
              </w:rPr>
              <w:t>违规</w:t>
            </w:r>
            <w:r>
              <w:rPr>
                <w:rFonts w:hint="eastAsia" w:asciiTheme="minorEastAsia" w:hAnsiTheme="minorEastAsia" w:eastAsiaTheme="minorEastAsia"/>
                <w:color w:val="000000"/>
                <w:sz w:val="21"/>
                <w:szCs w:val="21"/>
                <w:lang w:val="en-US" w:eastAsia="zh-CN"/>
              </w:rPr>
              <w:t>经营追责</w:t>
            </w:r>
            <w:r>
              <w:rPr>
                <w:rFonts w:hint="eastAsia" w:asciiTheme="minorEastAsia" w:hAnsiTheme="minorEastAsia" w:eastAsiaTheme="minorEastAsia"/>
                <w:color w:val="000000"/>
                <w:sz w:val="21"/>
                <w:szCs w:val="21"/>
              </w:rPr>
              <w:t>的</w:t>
            </w:r>
            <w:r>
              <w:rPr>
                <w:rFonts w:hint="eastAsia" w:asciiTheme="minorEastAsia" w:hAnsiTheme="minorEastAsia" w:eastAsiaTheme="minorEastAsia"/>
                <w:color w:val="000000"/>
                <w:sz w:val="21"/>
                <w:szCs w:val="21"/>
                <w:lang w:val="en-US" w:eastAsia="zh-CN"/>
              </w:rPr>
              <w:t>问题汇总</w:t>
            </w:r>
            <w:r>
              <w:rPr>
                <w:rFonts w:hint="eastAsia" w:asciiTheme="minorEastAsia" w:hAnsiTheme="minorEastAsia" w:eastAsiaTheme="minorEastAsia"/>
                <w:color w:val="000000"/>
                <w:sz w:val="21"/>
                <w:szCs w:val="21"/>
              </w:rPr>
              <w:t>和分析报告，便于监督违规情况，并做出相应决策。</w:t>
            </w:r>
          </w:p>
        </w:tc>
      </w:tr>
    </w:tbl>
    <w:p>
      <w:pPr>
        <w:pStyle w:val="5"/>
        <w:rPr>
          <w:rFonts w:hint="eastAsia"/>
          <w:lang w:val="en-US" w:eastAsia="zh-CN"/>
        </w:rPr>
      </w:pPr>
    </w:p>
    <w:p>
      <w:pPr>
        <w:pStyle w:val="7"/>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重大经营风险管理</w:t>
      </w:r>
      <w:bookmarkEnd w:id="24"/>
    </w:p>
    <w:p>
      <w:pPr>
        <w:pStyle w:val="8"/>
      </w:pPr>
      <w:bookmarkStart w:id="25" w:name="_Toc9310"/>
      <w:r>
        <w:rPr>
          <w:rFonts w:hint="eastAsia"/>
          <w:lang w:val="en-US" w:eastAsia="zh-CN"/>
        </w:rPr>
        <w:t>业务状况</w:t>
      </w:r>
    </w:p>
    <w:p>
      <w:pPr>
        <w:pStyle w:val="5"/>
        <w:keepNext/>
        <w:keepLines w:val="0"/>
        <w:pageBreakBefore w:val="0"/>
        <w:widowControl w:val="0"/>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集团各部门及所属企业在生产经营管理过程中，存在以下风险情形，都应按照重大经营风险事件处理并及时向董事会及监管部门书面报告：</w:t>
      </w:r>
    </w:p>
    <w:p>
      <w:pPr>
        <w:pStyle w:val="5"/>
        <w:keepNext/>
        <w:keepLines w:val="0"/>
        <w:pageBreakBefore w:val="0"/>
        <w:widowControl w:val="0"/>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w:t>
      </w:r>
      <w:r>
        <w:rPr>
          <w:rFonts w:hint="eastAsia" w:ascii="宋体" w:hAnsi="宋体" w:cs="宋体"/>
          <w:sz w:val="24"/>
          <w:szCs w:val="24"/>
          <w:lang w:val="en-US" w:eastAsia="zh-CN"/>
        </w:rPr>
        <w:t>1</w:t>
      </w:r>
      <w:r>
        <w:rPr>
          <w:rFonts w:hint="eastAsia" w:ascii="宋体" w:hAnsi="宋体" w:eastAsia="宋体" w:cs="宋体"/>
          <w:sz w:val="24"/>
          <w:szCs w:val="24"/>
          <w:lang w:val="en-US" w:eastAsia="zh-CN"/>
        </w:rPr>
        <w:t>）可能对企业资产、负债、权益和经营成果产生重大 影响，影响金额占企业上年末净资产 10%或者 5000 万元以上， 或者预计损失金额超过 5000 万元。</w:t>
      </w:r>
    </w:p>
    <w:p>
      <w:pPr>
        <w:pStyle w:val="5"/>
        <w:keepNext/>
        <w:keepLines w:val="0"/>
        <w:pageBreakBefore w:val="0"/>
        <w:widowControl w:val="0"/>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w:t>
      </w:r>
      <w:r>
        <w:rPr>
          <w:rFonts w:hint="eastAsia" w:ascii="宋体" w:hAnsi="宋体" w:cs="宋体"/>
          <w:sz w:val="24"/>
          <w:szCs w:val="24"/>
          <w:lang w:val="en-US" w:eastAsia="zh-CN"/>
        </w:rPr>
        <w:t>2</w:t>
      </w:r>
      <w:r>
        <w:rPr>
          <w:rFonts w:hint="eastAsia" w:ascii="宋体" w:hAnsi="宋体" w:eastAsia="宋体" w:cs="宋体"/>
          <w:sz w:val="24"/>
          <w:szCs w:val="24"/>
          <w:lang w:val="en-US" w:eastAsia="zh-CN"/>
        </w:rPr>
        <w:t>）可能导致企业生产经营条件和市场环境发生特别重 大变化，影响企业可持续发展。</w:t>
      </w:r>
    </w:p>
    <w:p>
      <w:pPr>
        <w:pStyle w:val="5"/>
        <w:keepNext/>
        <w:keepLines w:val="0"/>
        <w:pageBreakBefore w:val="0"/>
        <w:widowControl w:val="0"/>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w:t>
      </w:r>
      <w:r>
        <w:rPr>
          <w:rFonts w:hint="eastAsia" w:ascii="宋体" w:hAnsi="宋体" w:cs="宋体"/>
          <w:sz w:val="24"/>
          <w:szCs w:val="24"/>
          <w:lang w:val="en-US" w:eastAsia="zh-CN"/>
        </w:rPr>
        <w:t>3</w:t>
      </w:r>
      <w:r>
        <w:rPr>
          <w:rFonts w:hint="eastAsia" w:ascii="宋体" w:hAnsi="宋体" w:eastAsia="宋体" w:cs="宋体"/>
          <w:sz w:val="24"/>
          <w:szCs w:val="24"/>
          <w:lang w:val="en-US" w:eastAsia="zh-CN"/>
        </w:rPr>
        <w:t>）因涉嫌严重违法违规被司法机关或者省级以上监管 机构立案调查，或者受到重大刑事处罚、行政处罚。</w:t>
      </w:r>
    </w:p>
    <w:p>
      <w:pPr>
        <w:pStyle w:val="5"/>
        <w:keepNext/>
        <w:keepLines w:val="0"/>
        <w:pageBreakBefore w:val="0"/>
        <w:widowControl w:val="0"/>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w:t>
      </w:r>
      <w:r>
        <w:rPr>
          <w:rFonts w:hint="eastAsia" w:ascii="宋体" w:hAnsi="宋体" w:cs="宋体"/>
          <w:sz w:val="24"/>
          <w:szCs w:val="24"/>
          <w:lang w:val="en-US" w:eastAsia="zh-CN"/>
        </w:rPr>
        <w:t>4</w:t>
      </w:r>
      <w:r>
        <w:rPr>
          <w:rFonts w:hint="eastAsia" w:ascii="宋体" w:hAnsi="宋体" w:eastAsia="宋体" w:cs="宋体"/>
          <w:sz w:val="24"/>
          <w:szCs w:val="24"/>
          <w:lang w:val="en-US" w:eastAsia="zh-CN"/>
        </w:rPr>
        <w:t>）受到其他国家、地区或者国际组织机构管制、制裁 等，对企业或者国家形象产生重大负面影响。</w:t>
      </w:r>
    </w:p>
    <w:p>
      <w:pPr>
        <w:pStyle w:val="5"/>
        <w:keepNext/>
        <w:keepLines w:val="0"/>
        <w:pageBreakBefore w:val="0"/>
        <w:widowControl w:val="0"/>
        <w:kinsoku/>
        <w:wordWrap/>
        <w:overflowPunct/>
        <w:topLinePunct w:val="0"/>
        <w:autoSpaceDE/>
        <w:autoSpaceDN/>
        <w:bidi w:val="0"/>
        <w:adjustRightInd/>
        <w:snapToGrid w:val="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w:t>
      </w:r>
      <w:r>
        <w:rPr>
          <w:rFonts w:hint="eastAsia" w:ascii="宋体" w:hAnsi="宋体" w:cs="宋体"/>
          <w:sz w:val="24"/>
          <w:szCs w:val="24"/>
          <w:lang w:val="en-US" w:eastAsia="zh-CN"/>
        </w:rPr>
        <w:t>5</w:t>
      </w:r>
      <w:r>
        <w:rPr>
          <w:rFonts w:hint="eastAsia" w:ascii="宋体" w:hAnsi="宋体" w:eastAsia="宋体" w:cs="宋体"/>
          <w:sz w:val="24"/>
          <w:szCs w:val="24"/>
          <w:lang w:val="en-US" w:eastAsia="zh-CN"/>
        </w:rPr>
        <w:t>）受到国内外媒体报道，造成重大负面舆情影响。</w:t>
      </w:r>
    </w:p>
    <w:p>
      <w:pPr>
        <w:pStyle w:val="5"/>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w:t>
      </w:r>
      <w:r>
        <w:rPr>
          <w:rFonts w:hint="eastAsia" w:ascii="宋体" w:hAnsi="宋体" w:cs="宋体"/>
          <w:sz w:val="24"/>
          <w:szCs w:val="24"/>
          <w:lang w:val="en-US" w:eastAsia="zh-CN"/>
        </w:rPr>
        <w:t>6</w:t>
      </w:r>
      <w:r>
        <w:rPr>
          <w:rFonts w:hint="eastAsia" w:ascii="宋体" w:hAnsi="宋体" w:eastAsia="宋体" w:cs="宋体"/>
          <w:sz w:val="24"/>
          <w:szCs w:val="24"/>
          <w:lang w:val="en-US" w:eastAsia="zh-CN"/>
        </w:rPr>
        <w:t>）其他情形。</w:t>
      </w:r>
    </w:p>
    <w:p>
      <w:pPr>
        <w:pStyle w:val="5"/>
        <w:rPr>
          <w:rFonts w:hint="default" w:ascii="宋体" w:hAnsi="宋体" w:eastAsia="宋体" w:cs="宋体"/>
          <w:sz w:val="24"/>
          <w:szCs w:val="24"/>
          <w:lang w:val="en-US" w:eastAsia="zh-CN"/>
        </w:rPr>
      </w:pPr>
      <w:r>
        <w:rPr>
          <w:rFonts w:hint="eastAsia" w:ascii="宋体" w:hAnsi="宋体" w:cs="宋体"/>
          <w:sz w:val="24"/>
          <w:szCs w:val="24"/>
          <w:lang w:val="en-US" w:eastAsia="zh-CN"/>
        </w:rPr>
        <w:t>重大经营风险事件报告按照事件发生的不同阶段，分为首报、续报、终报三种方式。</w:t>
      </w: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业务基本需求</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1</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实现重大经营风险事件首报管理，支持记录对事件的发生时间、地点、现状以及可能造成的损失或影响。</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实现重大经营风险事件</w:t>
      </w:r>
      <w:r>
        <w:rPr>
          <w:rFonts w:hint="eastAsia" w:ascii="宋体" w:hAnsi="宋体" w:cs="宋体"/>
          <w:sz w:val="24"/>
          <w:szCs w:val="24"/>
          <w:lang w:val="en-US" w:eastAsia="zh-CN"/>
        </w:rPr>
        <w:t>续报</w:t>
      </w:r>
      <w:r>
        <w:rPr>
          <w:rFonts w:hint="eastAsia" w:ascii="宋体" w:hAnsi="宋体" w:eastAsia="宋体" w:cs="宋体"/>
          <w:sz w:val="24"/>
          <w:szCs w:val="24"/>
          <w:lang w:val="en-US" w:eastAsia="zh-CN"/>
        </w:rPr>
        <w:t>管理，支持记录事发单位基本情况、事件起因和性质、基本过程、发展趋势判断、风险应对处置方案、面临问题和困难及建议等</w:t>
      </w:r>
      <w:r>
        <w:rPr>
          <w:rFonts w:hint="eastAsia" w:ascii="宋体" w:hAnsi="宋体" w:eastAsia="宋体" w:cs="宋体"/>
          <w:sz w:val="24"/>
          <w:szCs w:val="24"/>
        </w:rPr>
        <w:t>。</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3.实现重大经营风险事件终报管理，支持记录事件基本情况、本企业党组织或董事会审议情况、已采取的措施及结果、涉及的金额及造成的损失和影响、存在的主要问题和困难及原因分析、问题整改情况等。</w:t>
      </w: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详细需求说明</w:t>
      </w:r>
    </w:p>
    <w:p>
      <w:pPr>
        <w:pStyle w:val="9"/>
      </w:pPr>
      <w:r>
        <w:rPr>
          <w:rFonts w:hint="eastAsia"/>
          <w:lang w:val="en-US" w:eastAsia="zh-CN"/>
        </w:rPr>
        <w:t>业务场景</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5652"/>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shd w:val="clear" w:color="auto" w:fill="D7D7D7" w:themeFill="background1" w:themeFillShade="D8"/>
            <w:vAlign w:val="center"/>
          </w:tcPr>
          <w:p>
            <w:pPr>
              <w:pStyle w:val="5"/>
              <w:ind w:left="0" w:leftChars="0" w:firstLine="0" w:firstLineChars="0"/>
              <w:jc w:val="center"/>
              <w:rPr>
                <w:rFonts w:hint="eastAsia" w:eastAsia="宋体"/>
                <w:b/>
                <w:bCs/>
                <w:sz w:val="21"/>
                <w:szCs w:val="21"/>
                <w:vertAlign w:val="baseline"/>
                <w:lang w:val="en-US" w:eastAsia="zh-CN"/>
              </w:rPr>
            </w:pPr>
            <w:r>
              <w:rPr>
                <w:rFonts w:hint="eastAsia"/>
                <w:b/>
                <w:bCs/>
                <w:sz w:val="21"/>
                <w:szCs w:val="21"/>
                <w:vertAlign w:val="baseline"/>
                <w:lang w:val="en-US" w:eastAsia="zh-CN"/>
              </w:rPr>
              <w:t>阶段</w:t>
            </w:r>
          </w:p>
        </w:tc>
        <w:tc>
          <w:tcPr>
            <w:tcW w:w="5652" w:type="dxa"/>
            <w:shd w:val="clear" w:color="auto" w:fill="D7D7D7" w:themeFill="background1" w:themeFillShade="D8"/>
            <w:vAlign w:val="center"/>
          </w:tcPr>
          <w:p>
            <w:pPr>
              <w:pStyle w:val="5"/>
              <w:ind w:left="0" w:leftChars="0" w:firstLine="0" w:firstLineChars="0"/>
              <w:rPr>
                <w:rFonts w:hint="eastAsia" w:eastAsia="宋体"/>
                <w:b/>
                <w:bCs/>
                <w:sz w:val="21"/>
                <w:szCs w:val="21"/>
                <w:vertAlign w:val="baseline"/>
                <w:lang w:val="en-US" w:eastAsia="zh-CN"/>
              </w:rPr>
            </w:pPr>
            <w:r>
              <w:rPr>
                <w:rFonts w:hint="eastAsia"/>
                <w:b/>
                <w:bCs/>
                <w:sz w:val="21"/>
                <w:szCs w:val="21"/>
                <w:vertAlign w:val="baseline"/>
                <w:lang w:val="en-US" w:eastAsia="zh-CN"/>
              </w:rPr>
              <w:t>场景</w:t>
            </w:r>
          </w:p>
        </w:tc>
        <w:tc>
          <w:tcPr>
            <w:tcW w:w="1820" w:type="dxa"/>
            <w:shd w:val="clear" w:color="auto" w:fill="D7D7D7" w:themeFill="background1" w:themeFillShade="D8"/>
            <w:vAlign w:val="center"/>
          </w:tcPr>
          <w:p>
            <w:pPr>
              <w:pStyle w:val="5"/>
              <w:ind w:left="0" w:leftChars="0" w:firstLine="0" w:firstLineChars="0"/>
              <w:rPr>
                <w:rFonts w:hint="default" w:eastAsia="宋体"/>
                <w:b/>
                <w:bCs/>
                <w:sz w:val="21"/>
                <w:szCs w:val="21"/>
                <w:vertAlign w:val="baseline"/>
                <w:lang w:val="en-US" w:eastAsia="zh-CN"/>
              </w:rPr>
            </w:pPr>
            <w:r>
              <w:rPr>
                <w:rFonts w:hint="eastAsia"/>
                <w:b/>
                <w:bCs/>
                <w:sz w:val="21"/>
                <w:szCs w:val="21"/>
                <w:vertAlign w:val="baseline"/>
                <w:lang w:val="en-US" w:eastAsia="zh-CN"/>
              </w:rPr>
              <w:t>部门/用户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jc w:val="center"/>
              <w:rPr>
                <w:rFonts w:hint="default" w:eastAsia="宋体"/>
                <w:sz w:val="21"/>
                <w:szCs w:val="21"/>
                <w:vertAlign w:val="baseline"/>
                <w:lang w:val="en-US" w:eastAsia="zh-CN"/>
              </w:rPr>
            </w:pPr>
            <w:r>
              <w:rPr>
                <w:rFonts w:hint="eastAsia"/>
                <w:sz w:val="21"/>
                <w:szCs w:val="21"/>
                <w:vertAlign w:val="baseline"/>
                <w:lang w:val="en-US" w:eastAsia="zh-CN"/>
              </w:rPr>
              <w:t>首报</w:t>
            </w:r>
          </w:p>
        </w:tc>
        <w:tc>
          <w:tcPr>
            <w:tcW w:w="5652" w:type="dxa"/>
            <w:vAlign w:val="center"/>
          </w:tcPr>
          <w:p>
            <w:pPr>
              <w:pStyle w:val="5"/>
              <w:ind w:left="0" w:leftChars="0" w:firstLine="0" w:firstLineChars="0"/>
              <w:rPr>
                <w:rFonts w:hint="default" w:eastAsia="宋体"/>
                <w:sz w:val="21"/>
                <w:szCs w:val="21"/>
                <w:vertAlign w:val="baseline"/>
                <w:lang w:val="en-US" w:eastAsia="zh-CN"/>
              </w:rPr>
            </w:pPr>
            <w:r>
              <w:rPr>
                <w:rFonts w:hint="eastAsia" w:cs="Times New Roman" w:asciiTheme="minorEastAsia" w:hAnsiTheme="minorEastAsia" w:eastAsiaTheme="minorEastAsia"/>
                <w:color w:val="000000"/>
                <w:kern w:val="0"/>
                <w:sz w:val="21"/>
                <w:szCs w:val="21"/>
                <w:lang w:val="en-US" w:eastAsia="zh-CN" w:bidi="ar-SA"/>
              </w:rPr>
              <w:t>各部门在生产经营管理过程中，发现</w:t>
            </w:r>
            <w:r>
              <w:rPr>
                <w:rFonts w:hint="default" w:cs="Times New Roman" w:asciiTheme="minorEastAsia" w:hAnsiTheme="minorEastAsia" w:eastAsiaTheme="minorEastAsia"/>
                <w:color w:val="000000"/>
                <w:kern w:val="0"/>
                <w:sz w:val="21"/>
                <w:szCs w:val="21"/>
                <w:lang w:val="en-US" w:eastAsia="zh-CN" w:bidi="ar-SA"/>
              </w:rPr>
              <w:t>风险，应当在事件发生后 1 个工作日内将相关情况形成报告，经分管领导审核后书面提交审计法务部</w:t>
            </w:r>
          </w:p>
        </w:tc>
        <w:tc>
          <w:tcPr>
            <w:tcW w:w="1820"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集团各部门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jc w:val="center"/>
              <w:rPr>
                <w:rFonts w:hint="default" w:eastAsia="宋体"/>
                <w:sz w:val="21"/>
                <w:szCs w:val="21"/>
                <w:vertAlign w:val="baseline"/>
                <w:lang w:val="en-US" w:eastAsia="zh-CN"/>
              </w:rPr>
            </w:pPr>
            <w:r>
              <w:rPr>
                <w:rFonts w:hint="eastAsia"/>
                <w:sz w:val="21"/>
                <w:szCs w:val="21"/>
                <w:vertAlign w:val="baseline"/>
                <w:lang w:val="en-US" w:eastAsia="zh-CN"/>
              </w:rPr>
              <w:t>续报</w:t>
            </w:r>
          </w:p>
        </w:tc>
        <w:tc>
          <w:tcPr>
            <w:tcW w:w="5652" w:type="dxa"/>
            <w:vAlign w:val="center"/>
          </w:tcPr>
          <w:p>
            <w:pPr>
              <w:pStyle w:val="5"/>
              <w:ind w:left="0" w:leftChars="0" w:firstLine="0" w:firstLineChars="0"/>
              <w:rPr>
                <w:rFonts w:hint="default" w:eastAsia="宋体"/>
                <w:sz w:val="21"/>
                <w:szCs w:val="21"/>
                <w:vertAlign w:val="baseline"/>
                <w:lang w:val="en-US" w:eastAsia="zh-CN"/>
              </w:rPr>
            </w:pPr>
            <w:r>
              <w:rPr>
                <w:rFonts w:hint="eastAsia" w:asciiTheme="minorEastAsia" w:hAnsiTheme="minorEastAsia" w:eastAsiaTheme="minorEastAsia"/>
                <w:color w:val="000000"/>
                <w:sz w:val="21"/>
                <w:szCs w:val="21"/>
              </w:rPr>
              <w:t>在事件发生后 3 个工作日内向集团 书面报告，报告内容包括：事发单位基本情况、事件起因和性 质、基本过程、发展趋势判断、风险应对处置方案、面临问题 和困难及建议等情况</w:t>
            </w:r>
          </w:p>
        </w:tc>
        <w:tc>
          <w:tcPr>
            <w:tcW w:w="1820"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集团各部门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jc w:val="center"/>
              <w:rPr>
                <w:rFonts w:hint="default"/>
                <w:sz w:val="21"/>
                <w:szCs w:val="21"/>
                <w:vertAlign w:val="baseline"/>
                <w:lang w:val="en-US" w:eastAsia="zh-CN"/>
              </w:rPr>
            </w:pPr>
            <w:r>
              <w:rPr>
                <w:rFonts w:hint="eastAsia"/>
                <w:sz w:val="21"/>
                <w:szCs w:val="21"/>
                <w:vertAlign w:val="baseline"/>
                <w:lang w:val="en-US" w:eastAsia="zh-CN"/>
              </w:rPr>
              <w:t>终报</w:t>
            </w:r>
          </w:p>
        </w:tc>
        <w:tc>
          <w:tcPr>
            <w:tcW w:w="5652" w:type="dxa"/>
            <w:vAlign w:val="center"/>
          </w:tcPr>
          <w:p>
            <w:pPr>
              <w:pStyle w:val="5"/>
              <w:ind w:left="0" w:leftChars="0" w:firstLine="0" w:firstLineChars="0"/>
              <w:rPr>
                <w:rFonts w:hint="eastAsia"/>
                <w:sz w:val="21"/>
                <w:szCs w:val="21"/>
                <w:vertAlign w:val="baseline"/>
                <w:lang w:val="en-US" w:eastAsia="zh-CN"/>
              </w:rPr>
            </w:pPr>
            <w:r>
              <w:rPr>
                <w:rFonts w:hint="eastAsia" w:asciiTheme="minorEastAsia" w:hAnsiTheme="minorEastAsia" w:eastAsiaTheme="minorEastAsia"/>
                <w:color w:val="000000"/>
                <w:sz w:val="21"/>
                <w:szCs w:val="21"/>
              </w:rPr>
              <w:t>在事件处置或整改工作结束后 7 个工作日内向集团书面报告，报告内容包括：事件基本情况、本企 业党组织或董事会审议情况、已采取的措施及结果、涉及的金 额及造成的损失和影响、存在的主要问题和困难及原因分析、 问题整改情况等。涉及违规违纪违法问题的应当一并报告问责 情况</w:t>
            </w:r>
          </w:p>
        </w:tc>
        <w:tc>
          <w:tcPr>
            <w:tcW w:w="1820" w:type="dxa"/>
            <w:vAlign w:val="center"/>
          </w:tcPr>
          <w:p>
            <w:pPr>
              <w:pStyle w:val="5"/>
              <w:ind w:left="0" w:leftChars="0" w:firstLine="0" w:firstLineChars="0"/>
              <w:rPr>
                <w:rFonts w:hint="default"/>
                <w:sz w:val="21"/>
                <w:szCs w:val="21"/>
                <w:vertAlign w:val="baseline"/>
                <w:lang w:val="en-US" w:eastAsia="zh-CN"/>
              </w:rPr>
            </w:pPr>
            <w:r>
              <w:rPr>
                <w:rFonts w:hint="eastAsia"/>
                <w:sz w:val="21"/>
                <w:szCs w:val="21"/>
                <w:vertAlign w:val="baseline"/>
                <w:lang w:val="en-US" w:eastAsia="zh-CN"/>
              </w:rPr>
              <w:t>集团各部门</w:t>
            </w:r>
          </w:p>
        </w:tc>
      </w:tr>
    </w:tbl>
    <w:p>
      <w:pPr>
        <w:pStyle w:val="5"/>
      </w:pPr>
    </w:p>
    <w:p>
      <w:pPr>
        <w:pStyle w:val="9"/>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流程图</w:t>
      </w:r>
    </w:p>
    <w:p>
      <w:pPr>
        <w:pStyle w:val="5"/>
        <w:rPr>
          <w:rFonts w:hint="default"/>
          <w:b/>
          <w:bCs/>
          <w:sz w:val="24"/>
          <w:szCs w:val="24"/>
          <w:lang w:val="en-US" w:eastAsia="zh-CN"/>
        </w:rPr>
      </w:pPr>
      <w:r>
        <w:rPr>
          <w:rFonts w:hint="eastAsia" w:cs="Times New Roman"/>
          <w:b/>
          <w:bCs/>
          <w:kern w:val="2"/>
          <w:sz w:val="24"/>
          <w:szCs w:val="24"/>
          <w:lang w:val="en-US" w:eastAsia="zh-CN" w:bidi="ar-SA"/>
        </w:rPr>
        <w:t>1、重大经营风险流程图</w:t>
      </w:r>
    </w:p>
    <w:p>
      <w:pPr>
        <w:pStyle w:val="5"/>
        <w:ind w:left="0" w:leftChars="0" w:firstLine="0" w:firstLineChars="0"/>
        <w:rPr>
          <w:rFonts w:ascii="宋体" w:hAnsi="宋体" w:eastAsia="宋体" w:cs="宋体"/>
          <w:sz w:val="24"/>
          <w:szCs w:val="24"/>
        </w:rPr>
      </w:pPr>
      <w:r>
        <w:rPr>
          <w:rFonts w:ascii="宋体" w:hAnsi="宋体" w:eastAsia="宋体" w:cs="宋体"/>
          <w:sz w:val="24"/>
          <w:szCs w:val="24"/>
        </w:rPr>
        <w:drawing>
          <wp:inline distT="0" distB="0" distL="114300" distR="114300">
            <wp:extent cx="5662930" cy="6235700"/>
            <wp:effectExtent l="0" t="0" r="0" b="0"/>
            <wp:docPr id="17"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9" descr="IMG_256"/>
                    <pic:cNvPicPr>
                      <a:picLocks noChangeAspect="1"/>
                    </pic:cNvPicPr>
                  </pic:nvPicPr>
                  <pic:blipFill>
                    <a:blip r:embed="rId15"/>
                    <a:stretch>
                      <a:fillRect/>
                    </a:stretch>
                  </pic:blipFill>
                  <pic:spPr>
                    <a:xfrm>
                      <a:off x="0" y="0"/>
                      <a:ext cx="5662930" cy="6235700"/>
                    </a:xfrm>
                    <a:prstGeom prst="rect">
                      <a:avLst/>
                    </a:prstGeom>
                    <a:noFill/>
                    <a:ln w="9525">
                      <a:noFill/>
                    </a:ln>
                  </pic:spPr>
                </pic:pic>
              </a:graphicData>
            </a:graphic>
          </wp:inline>
        </w:drawing>
      </w:r>
    </w:p>
    <w:p>
      <w:pPr>
        <w:pStyle w:val="5"/>
        <w:ind w:left="0" w:leftChars="0" w:firstLine="0" w:firstLineChars="0"/>
        <w:rPr>
          <w:rFonts w:hint="default" w:ascii="宋体" w:hAnsi="宋体" w:eastAsia="宋体" w:cs="宋体"/>
          <w:b/>
          <w:bCs/>
          <w:sz w:val="24"/>
          <w:szCs w:val="24"/>
          <w:lang w:val="en-US" w:eastAsia="zh-CN"/>
        </w:rPr>
      </w:pPr>
      <w:r>
        <w:rPr>
          <w:rFonts w:hint="eastAsia" w:ascii="宋体" w:hAnsi="宋体" w:cs="宋体"/>
          <w:b/>
          <w:bCs/>
          <w:sz w:val="24"/>
          <w:szCs w:val="24"/>
          <w:lang w:val="en-US" w:eastAsia="zh-CN"/>
        </w:rPr>
        <w:t>流程说明：</w:t>
      </w:r>
    </w:p>
    <w:tbl>
      <w:tblPr>
        <w:tblStyle w:val="33"/>
        <w:tblW w:w="893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72" w:type="dxa"/>
          <w:bottom w:w="0" w:type="dxa"/>
          <w:right w:w="72" w:type="dxa"/>
        </w:tblCellMar>
      </w:tblPr>
      <w:tblGrid>
        <w:gridCol w:w="1129"/>
        <w:gridCol w:w="1293"/>
        <w:gridCol w:w="1801"/>
        <w:gridCol w:w="1697"/>
        <w:gridCol w:w="725"/>
        <w:gridCol w:w="1075"/>
        <w:gridCol w:w="121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8932" w:type="dxa"/>
            <w:gridSpan w:val="7"/>
            <w:tcBorders>
              <w:top w:val="single" w:color="auto" w:sz="12" w:space="0"/>
              <w:left w:val="single" w:color="auto" w:sz="12" w:space="0"/>
              <w:bottom w:val="single" w:color="auto" w:sz="8" w:space="0"/>
              <w:right w:val="single" w:color="auto" w:sz="12" w:space="0"/>
            </w:tcBorders>
            <w:shd w:val="clear" w:color="auto" w:fill="EAEAEA"/>
            <w:vAlign w:val="center"/>
          </w:tcPr>
          <w:p>
            <w:pPr>
              <w:pStyle w:val="94"/>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rPr>
              <w:t>流程编号：</w:t>
            </w:r>
            <w:r>
              <w:rPr>
                <w:rFonts w:hint="eastAsia" w:asciiTheme="minorEastAsia" w:hAnsiTheme="minorEastAsia" w:eastAsiaTheme="minorEastAsia"/>
                <w:color w:val="000000"/>
                <w:sz w:val="21"/>
                <w:szCs w:val="21"/>
                <w:lang w:val="en-US" w:eastAsia="zh-CN"/>
              </w:rPr>
              <w:t>FP_MO_001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8932" w:type="dxa"/>
            <w:gridSpan w:val="7"/>
            <w:tcBorders>
              <w:top w:val="single" w:color="auto" w:sz="8" w:space="0"/>
              <w:left w:val="single" w:color="auto" w:sz="12" w:space="0"/>
              <w:bottom w:val="single" w:color="auto" w:sz="8" w:space="0"/>
              <w:right w:val="single" w:color="auto" w:sz="12" w:space="0"/>
            </w:tcBorders>
            <w:shd w:val="clear" w:color="auto" w:fill="EAEAEA"/>
            <w:vAlign w:val="center"/>
          </w:tcPr>
          <w:p>
            <w:pPr>
              <w:pStyle w:val="94"/>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流程名称：重大经营风险业务流程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8932" w:type="dxa"/>
            <w:gridSpan w:val="7"/>
            <w:tcBorders>
              <w:top w:val="single" w:color="auto" w:sz="8" w:space="0"/>
              <w:left w:val="single" w:color="auto" w:sz="12" w:space="0"/>
              <w:bottom w:val="single" w:color="auto" w:sz="12" w:space="0"/>
              <w:right w:val="single" w:color="auto" w:sz="12" w:space="0"/>
            </w:tcBorders>
            <w:shd w:val="clear" w:color="auto" w:fill="EAEAEA"/>
            <w:vAlign w:val="center"/>
          </w:tcPr>
          <w:p>
            <w:pPr>
              <w:pStyle w:val="94"/>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流程版本：v0.3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1129" w:type="dxa"/>
            <w:tcBorders>
              <w:top w:val="single" w:color="auto" w:sz="12" w:space="0"/>
              <w:left w:val="single" w:color="auto" w:sz="12" w:space="0"/>
              <w:bottom w:val="single" w:color="auto" w:sz="6" w:space="0"/>
              <w:right w:val="single" w:color="auto" w:sz="6" w:space="0"/>
            </w:tcBorders>
            <w:shd w:val="clear" w:color="auto" w:fill="EAEAEA"/>
            <w:vAlign w:val="center"/>
          </w:tcPr>
          <w:p>
            <w:pPr>
              <w:pStyle w:val="94"/>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步骤编号</w:t>
            </w:r>
          </w:p>
        </w:tc>
        <w:tc>
          <w:tcPr>
            <w:tcW w:w="1293" w:type="dxa"/>
            <w:tcBorders>
              <w:top w:val="single" w:color="auto" w:sz="12" w:space="0"/>
              <w:left w:val="single" w:color="auto" w:sz="6" w:space="0"/>
              <w:bottom w:val="single" w:color="auto" w:sz="6" w:space="0"/>
              <w:right w:val="single" w:color="auto" w:sz="8" w:space="0"/>
            </w:tcBorders>
            <w:shd w:val="clear" w:color="auto" w:fill="EAEAEA"/>
            <w:vAlign w:val="center"/>
          </w:tcPr>
          <w:p>
            <w:pPr>
              <w:pStyle w:val="94"/>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步骤名称</w:t>
            </w:r>
          </w:p>
        </w:tc>
        <w:tc>
          <w:tcPr>
            <w:tcW w:w="1801" w:type="dxa"/>
            <w:tcBorders>
              <w:top w:val="single" w:color="auto" w:sz="12" w:space="0"/>
              <w:left w:val="single" w:color="auto" w:sz="8" w:space="0"/>
              <w:bottom w:val="single" w:color="auto" w:sz="6" w:space="0"/>
              <w:right w:val="single" w:color="auto" w:sz="6" w:space="0"/>
            </w:tcBorders>
            <w:shd w:val="clear" w:color="auto" w:fill="EAEAEA"/>
            <w:vAlign w:val="center"/>
          </w:tcPr>
          <w:p>
            <w:pPr>
              <w:pStyle w:val="94"/>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业务过程描述</w:t>
            </w:r>
          </w:p>
        </w:tc>
        <w:tc>
          <w:tcPr>
            <w:tcW w:w="1697" w:type="dxa"/>
            <w:tcBorders>
              <w:top w:val="single" w:color="auto" w:sz="12" w:space="0"/>
              <w:left w:val="single" w:color="auto" w:sz="8" w:space="0"/>
              <w:bottom w:val="single" w:color="auto" w:sz="6" w:space="0"/>
              <w:right w:val="single" w:color="auto" w:sz="6" w:space="0"/>
            </w:tcBorders>
            <w:shd w:val="clear" w:color="auto" w:fill="EAEAEA"/>
            <w:vAlign w:val="center"/>
          </w:tcPr>
          <w:p>
            <w:pPr>
              <w:pStyle w:val="94"/>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责任部门/岗位</w:t>
            </w:r>
          </w:p>
        </w:tc>
        <w:tc>
          <w:tcPr>
            <w:tcW w:w="725" w:type="dxa"/>
            <w:tcBorders>
              <w:top w:val="single" w:color="auto" w:sz="12" w:space="0"/>
              <w:left w:val="single" w:color="auto" w:sz="6" w:space="0"/>
              <w:bottom w:val="single" w:color="auto" w:sz="6" w:space="0"/>
              <w:right w:val="single" w:color="auto" w:sz="8" w:space="0"/>
            </w:tcBorders>
            <w:shd w:val="clear" w:color="auto" w:fill="EAEAEA"/>
            <w:vAlign w:val="center"/>
          </w:tcPr>
          <w:p>
            <w:pPr>
              <w:pStyle w:val="94"/>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处理方式</w:t>
            </w:r>
          </w:p>
        </w:tc>
        <w:tc>
          <w:tcPr>
            <w:tcW w:w="1075" w:type="dxa"/>
            <w:tcBorders>
              <w:top w:val="single" w:color="auto" w:sz="12" w:space="0"/>
              <w:left w:val="single" w:color="auto" w:sz="6" w:space="0"/>
              <w:bottom w:val="single" w:color="auto" w:sz="6" w:space="0"/>
              <w:right w:val="single" w:color="auto" w:sz="8" w:space="0"/>
            </w:tcBorders>
            <w:shd w:val="clear" w:color="auto" w:fill="EAEAEA"/>
            <w:vAlign w:val="center"/>
          </w:tcPr>
          <w:p>
            <w:pPr>
              <w:pStyle w:val="94"/>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输入文档</w:t>
            </w:r>
          </w:p>
        </w:tc>
        <w:tc>
          <w:tcPr>
            <w:tcW w:w="1212" w:type="dxa"/>
            <w:tcBorders>
              <w:top w:val="single" w:color="auto" w:sz="12" w:space="0"/>
              <w:left w:val="single" w:color="auto" w:sz="8" w:space="0"/>
              <w:bottom w:val="single" w:color="auto" w:sz="6" w:space="0"/>
              <w:right w:val="single" w:color="auto" w:sz="12" w:space="0"/>
            </w:tcBorders>
            <w:shd w:val="clear" w:color="auto" w:fill="EAEAEA"/>
            <w:vAlign w:val="center"/>
          </w:tcPr>
          <w:p>
            <w:pPr>
              <w:pStyle w:val="94"/>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输出文档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60" w:hRule="exact"/>
        </w:trPr>
        <w:tc>
          <w:tcPr>
            <w:tcW w:w="1129" w:type="dxa"/>
            <w:tcBorders>
              <w:top w:val="single" w:color="auto" w:sz="6" w:space="0"/>
              <w:left w:val="nil"/>
              <w:bottom w:val="single" w:color="auto" w:sz="6" w:space="0"/>
              <w:right w:val="single" w:color="auto" w:sz="6" w:space="0"/>
            </w:tcBorders>
            <w:shd w:val="pct50" w:color="auto" w:fill="auto"/>
            <w:vAlign w:val="center"/>
          </w:tcPr>
          <w:p>
            <w:pPr>
              <w:pStyle w:val="93"/>
              <w:spacing w:line="360" w:lineRule="auto"/>
              <w:jc w:val="both"/>
              <w:rPr>
                <w:rFonts w:asciiTheme="minorEastAsia" w:hAnsiTheme="minorEastAsia" w:eastAsiaTheme="minorEastAsia"/>
                <w:color w:val="000000"/>
                <w:sz w:val="21"/>
                <w:szCs w:val="21"/>
              </w:rPr>
            </w:pPr>
          </w:p>
        </w:tc>
        <w:tc>
          <w:tcPr>
            <w:tcW w:w="1293" w:type="dxa"/>
            <w:tcBorders>
              <w:top w:val="single" w:color="auto" w:sz="6" w:space="0"/>
              <w:left w:val="single" w:color="auto" w:sz="6" w:space="0"/>
              <w:bottom w:val="single" w:color="auto" w:sz="6" w:space="0"/>
              <w:right w:val="single" w:color="auto" w:sz="8" w:space="0"/>
            </w:tcBorders>
            <w:shd w:val="pct50" w:color="auto" w:fill="auto"/>
            <w:vAlign w:val="center"/>
          </w:tcPr>
          <w:p>
            <w:pPr>
              <w:pStyle w:val="93"/>
              <w:spacing w:line="360" w:lineRule="auto"/>
              <w:jc w:val="both"/>
              <w:rPr>
                <w:rFonts w:asciiTheme="minorEastAsia" w:hAnsiTheme="minorEastAsia" w:eastAsiaTheme="minorEastAsia"/>
                <w:color w:val="000000"/>
                <w:sz w:val="21"/>
                <w:szCs w:val="21"/>
              </w:rPr>
            </w:pPr>
          </w:p>
        </w:tc>
        <w:tc>
          <w:tcPr>
            <w:tcW w:w="1801" w:type="dxa"/>
            <w:tcBorders>
              <w:top w:val="single" w:color="auto" w:sz="6" w:space="0"/>
              <w:left w:val="single" w:color="auto" w:sz="8" w:space="0"/>
              <w:bottom w:val="single" w:color="auto" w:sz="6" w:space="0"/>
              <w:right w:val="single" w:color="auto" w:sz="6" w:space="0"/>
            </w:tcBorders>
            <w:shd w:val="pct50" w:color="auto" w:fill="auto"/>
            <w:vAlign w:val="center"/>
          </w:tcPr>
          <w:p>
            <w:pPr>
              <w:pStyle w:val="93"/>
              <w:spacing w:line="360" w:lineRule="auto"/>
              <w:jc w:val="both"/>
              <w:rPr>
                <w:rFonts w:asciiTheme="minorEastAsia" w:hAnsiTheme="minorEastAsia" w:eastAsiaTheme="minorEastAsia"/>
                <w:color w:val="000000"/>
                <w:sz w:val="21"/>
                <w:szCs w:val="21"/>
              </w:rPr>
            </w:pPr>
          </w:p>
        </w:tc>
        <w:tc>
          <w:tcPr>
            <w:tcW w:w="1697" w:type="dxa"/>
            <w:tcBorders>
              <w:top w:val="single" w:color="auto" w:sz="6" w:space="0"/>
              <w:left w:val="single" w:color="auto" w:sz="8" w:space="0"/>
              <w:bottom w:val="single" w:color="auto" w:sz="6" w:space="0"/>
              <w:right w:val="single" w:color="auto" w:sz="6" w:space="0"/>
            </w:tcBorders>
            <w:shd w:val="pct50" w:color="auto" w:fill="auto"/>
            <w:vAlign w:val="center"/>
          </w:tcPr>
          <w:p>
            <w:pPr>
              <w:pStyle w:val="93"/>
              <w:spacing w:line="360" w:lineRule="auto"/>
              <w:jc w:val="both"/>
              <w:rPr>
                <w:rFonts w:asciiTheme="minorEastAsia" w:hAnsiTheme="minorEastAsia" w:eastAsiaTheme="minorEastAsia"/>
                <w:color w:val="000000"/>
                <w:sz w:val="21"/>
                <w:szCs w:val="21"/>
              </w:rPr>
            </w:pPr>
          </w:p>
        </w:tc>
        <w:tc>
          <w:tcPr>
            <w:tcW w:w="725" w:type="dxa"/>
            <w:tcBorders>
              <w:top w:val="single" w:color="auto" w:sz="6" w:space="0"/>
              <w:left w:val="single" w:color="auto" w:sz="6" w:space="0"/>
              <w:bottom w:val="single" w:color="auto" w:sz="6" w:space="0"/>
              <w:right w:val="single" w:color="auto" w:sz="8" w:space="0"/>
            </w:tcBorders>
            <w:shd w:val="pct50" w:color="auto" w:fill="auto"/>
            <w:vAlign w:val="center"/>
          </w:tcPr>
          <w:p>
            <w:pPr>
              <w:pStyle w:val="93"/>
              <w:spacing w:line="360" w:lineRule="auto"/>
              <w:jc w:val="both"/>
              <w:rPr>
                <w:rFonts w:asciiTheme="minorEastAsia" w:hAnsiTheme="minorEastAsia" w:eastAsiaTheme="minorEastAsia"/>
                <w:color w:val="000000"/>
                <w:sz w:val="21"/>
                <w:szCs w:val="21"/>
              </w:rPr>
            </w:pPr>
          </w:p>
        </w:tc>
        <w:tc>
          <w:tcPr>
            <w:tcW w:w="1075" w:type="dxa"/>
            <w:tcBorders>
              <w:top w:val="single" w:color="auto" w:sz="6" w:space="0"/>
              <w:left w:val="single" w:color="auto" w:sz="6" w:space="0"/>
              <w:bottom w:val="single" w:color="auto" w:sz="6" w:space="0"/>
              <w:right w:val="single" w:color="auto" w:sz="8" w:space="0"/>
            </w:tcBorders>
            <w:shd w:val="pct50" w:color="auto" w:fill="auto"/>
            <w:vAlign w:val="center"/>
          </w:tcPr>
          <w:p>
            <w:pPr>
              <w:pStyle w:val="93"/>
              <w:spacing w:line="360" w:lineRule="auto"/>
              <w:jc w:val="both"/>
              <w:rPr>
                <w:rFonts w:asciiTheme="minorEastAsia" w:hAnsiTheme="minorEastAsia" w:eastAsiaTheme="minorEastAsia"/>
                <w:color w:val="000000"/>
                <w:sz w:val="21"/>
                <w:szCs w:val="21"/>
              </w:rPr>
            </w:pPr>
          </w:p>
        </w:tc>
        <w:tc>
          <w:tcPr>
            <w:tcW w:w="1212" w:type="dxa"/>
            <w:tcBorders>
              <w:top w:val="single" w:color="auto" w:sz="6" w:space="0"/>
              <w:left w:val="single" w:color="auto" w:sz="8" w:space="0"/>
              <w:bottom w:val="single" w:color="auto" w:sz="6" w:space="0"/>
              <w:right w:val="nil"/>
            </w:tcBorders>
            <w:shd w:val="pct50" w:color="auto" w:fill="auto"/>
            <w:vAlign w:val="center"/>
          </w:tcPr>
          <w:p>
            <w:pPr>
              <w:pStyle w:val="93"/>
              <w:spacing w:line="360" w:lineRule="auto"/>
              <w:jc w:val="both"/>
              <w:rPr>
                <w:rFonts w:asciiTheme="minorEastAsia" w:hAnsiTheme="minorEastAsia" w:eastAsiaTheme="minorEastAsia"/>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A1_</w:t>
            </w:r>
            <w:r>
              <w:rPr>
                <w:rFonts w:hint="eastAsia" w:asciiTheme="minorEastAsia" w:hAnsiTheme="minorEastAsia" w:eastAsiaTheme="minorEastAsia"/>
                <w:color w:val="000000"/>
                <w:sz w:val="21"/>
                <w:szCs w:val="21"/>
              </w:rPr>
              <w:t>0</w:t>
            </w:r>
            <w:r>
              <w:rPr>
                <w:rFonts w:asciiTheme="minorEastAsia" w:hAnsiTheme="minorEastAsia" w:eastAsiaTheme="minorEastAsia"/>
                <w:color w:val="000000"/>
                <w:sz w:val="21"/>
                <w:szCs w:val="21"/>
              </w:rPr>
              <w:t>1</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首报</w:t>
            </w:r>
          </w:p>
        </w:tc>
        <w:tc>
          <w:tcPr>
            <w:tcW w:w="1801" w:type="dxa"/>
            <w:tcBorders>
              <w:top w:val="single" w:color="auto" w:sz="6" w:space="0"/>
              <w:left w:val="single" w:color="auto" w:sz="8" w:space="0"/>
              <w:bottom w:val="single" w:color="auto" w:sz="6" w:space="0"/>
              <w:right w:val="single" w:color="auto" w:sz="6" w:space="0"/>
            </w:tcBorders>
            <w:vAlign w:val="center"/>
          </w:tcPr>
          <w:p>
            <w:pPr>
              <w:keepNext w:val="0"/>
              <w:keepLines w:val="0"/>
              <w:widowControl/>
              <w:suppressLineNumbers w:val="0"/>
              <w:jc w:val="left"/>
              <w:rPr>
                <w:rFonts w:asciiTheme="minorEastAsia" w:hAnsiTheme="minorEastAsia" w:eastAsiaTheme="minorEastAsia"/>
                <w:color w:val="000000"/>
                <w:sz w:val="21"/>
                <w:szCs w:val="21"/>
              </w:rPr>
            </w:pPr>
            <w:r>
              <w:rPr>
                <w:rFonts w:hint="eastAsia" w:cs="Times New Roman" w:asciiTheme="minorEastAsia" w:hAnsiTheme="minorEastAsia" w:eastAsiaTheme="minorEastAsia"/>
                <w:color w:val="000000"/>
                <w:kern w:val="0"/>
                <w:sz w:val="21"/>
                <w:szCs w:val="21"/>
                <w:lang w:val="en-US" w:eastAsia="zh-CN" w:bidi="ar-SA"/>
              </w:rPr>
              <w:t>各部门在生产经营管理过程中，发现</w:t>
            </w:r>
            <w:r>
              <w:rPr>
                <w:rFonts w:hint="default" w:cs="Times New Roman" w:asciiTheme="minorEastAsia" w:hAnsiTheme="minorEastAsia" w:eastAsiaTheme="minorEastAsia"/>
                <w:color w:val="000000"/>
                <w:kern w:val="0"/>
                <w:sz w:val="21"/>
                <w:szCs w:val="21"/>
                <w:lang w:val="en-US" w:eastAsia="zh-CN" w:bidi="ar-SA"/>
              </w:rPr>
              <w:t>风险，应当在事件发生后 1 个工作日内将相关情况形成报告，经分管领导审核后书面提交审计法务部</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各部门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无</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重大经营风险事项报告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A1_02</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汇总、上报至董事会及监管部门</w:t>
            </w:r>
          </w:p>
        </w:tc>
        <w:tc>
          <w:tcPr>
            <w:tcW w:w="1801" w:type="dxa"/>
            <w:tcBorders>
              <w:top w:val="single" w:color="auto" w:sz="6" w:space="0"/>
              <w:left w:val="single" w:color="auto" w:sz="8" w:space="0"/>
              <w:bottom w:val="single" w:color="auto" w:sz="6" w:space="0"/>
              <w:right w:val="single" w:color="auto" w:sz="6" w:space="0"/>
            </w:tcBorders>
            <w:vAlign w:val="center"/>
          </w:tcPr>
          <w:p>
            <w:pPr>
              <w:keepNext w:val="0"/>
              <w:keepLines w:val="0"/>
              <w:widowControl/>
              <w:suppressLineNumbers w:val="0"/>
              <w:jc w:val="left"/>
              <w:rPr>
                <w:rFonts w:asciiTheme="minorEastAsia" w:hAnsiTheme="minorEastAsia" w:eastAsiaTheme="minorEastAsia"/>
                <w:color w:val="000000"/>
                <w:sz w:val="21"/>
                <w:szCs w:val="21"/>
              </w:rPr>
            </w:pPr>
            <w:r>
              <w:rPr>
                <w:rFonts w:hint="eastAsia" w:cs="Times New Roman" w:asciiTheme="minorEastAsia" w:hAnsiTheme="minorEastAsia" w:eastAsiaTheme="minorEastAsia"/>
                <w:color w:val="000000"/>
                <w:kern w:val="0"/>
                <w:sz w:val="21"/>
                <w:szCs w:val="21"/>
                <w:lang w:val="en-US" w:eastAsia="zh-CN" w:bidi="ar-SA"/>
              </w:rPr>
              <w:t>审计法务部收到集团各部门、集团所属企业提交的重大</w:t>
            </w:r>
            <w:r>
              <w:rPr>
                <w:rFonts w:hint="default" w:cs="Times New Roman" w:asciiTheme="minorEastAsia" w:hAnsiTheme="minorEastAsia" w:eastAsiaTheme="minorEastAsia"/>
                <w:color w:val="000000"/>
                <w:kern w:val="0"/>
                <w:sz w:val="21"/>
                <w:szCs w:val="21"/>
                <w:lang w:val="en-US" w:eastAsia="zh-CN" w:bidi="ar-SA"/>
              </w:rPr>
              <w:t>经营风险事件书面报告后，应核实内容完整性，经集团主要领导和分管领导审核后，在事件发生后 2 个工作日内将相关情况由集团主要负责人签字并加盖公章后报送重庆交通开投集团</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审计法务部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线下处理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重大经营风险事项报告</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A1_03</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续报</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在事件发生后 3 个工作日内向集团 书面报告，报告内容包括：事发单位基本情况、事件起因和性 质、基本过程、发展趋势判断、风险应对处置方案、面临问题 和困难及建议等情况</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olor w:val="000000"/>
                <w:sz w:val="21"/>
                <w:szCs w:val="21"/>
                <w:lang w:eastAsia="zh-CN"/>
              </w:rPr>
            </w:pPr>
            <w:r>
              <w:rPr>
                <w:rFonts w:hint="eastAsia" w:asciiTheme="minorEastAsia" w:hAnsiTheme="minorEastAsia" w:eastAsiaTheme="minorEastAsia"/>
                <w:color w:val="000000"/>
                <w:sz w:val="21"/>
                <w:szCs w:val="21"/>
                <w:lang w:val="en-US" w:eastAsia="zh-CN"/>
              </w:rPr>
              <w:t>各部门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无</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重大经营风险事项报告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A1_04</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汇总、上报至董事会及监管部门</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olor w:val="000000"/>
                <w:sz w:val="21"/>
                <w:szCs w:val="21"/>
              </w:rPr>
            </w:pPr>
            <w:r>
              <w:rPr>
                <w:rFonts w:hint="eastAsia" w:cs="Times New Roman" w:asciiTheme="minorEastAsia" w:hAnsiTheme="minorEastAsia" w:eastAsiaTheme="minorEastAsia"/>
                <w:color w:val="000000"/>
                <w:kern w:val="0"/>
                <w:sz w:val="21"/>
                <w:szCs w:val="21"/>
                <w:lang w:val="en-US" w:eastAsia="zh-CN" w:bidi="ar-SA"/>
              </w:rPr>
              <w:t>审计法务部收到集团各部门、集团所属企业提交的重大</w:t>
            </w:r>
            <w:r>
              <w:rPr>
                <w:rFonts w:hint="default" w:cs="Times New Roman" w:asciiTheme="minorEastAsia" w:hAnsiTheme="minorEastAsia" w:eastAsiaTheme="minorEastAsia"/>
                <w:color w:val="000000"/>
                <w:kern w:val="0"/>
                <w:sz w:val="21"/>
                <w:szCs w:val="21"/>
                <w:lang w:val="en-US" w:eastAsia="zh-CN" w:bidi="ar-SA"/>
              </w:rPr>
              <w:t>经营风险事件书面报告后，应核实内容完整性，经集团主要领导和分管领导审核后，在事件发生后 2 个工作日内将相关情况由集团主要负责人签字并加盖公章后报送重庆交通开投集团</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审计法务部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线下处理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重大经营风险事项报告</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A1_05</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终报</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在事件处置或整改工作结束后 7 个工作日内向集团书面报告，报告内容包括：事件基本情况、本企 业党组织或董事会审议情况、已采取的措施及结果、涉及的金 额及造成的损失和影响、存在的主要问题和困难及原因分析、 问题整改情况等。涉及违规违纪违法问题的应当一并报告问责情况</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各部门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无</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重大经营风险事项报告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129" w:type="dxa"/>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A1_06</w:t>
            </w:r>
          </w:p>
        </w:tc>
        <w:tc>
          <w:tcPr>
            <w:tcW w:w="1293"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汇总、上报至董事会及监管部门</w:t>
            </w:r>
          </w:p>
        </w:tc>
        <w:tc>
          <w:tcPr>
            <w:tcW w:w="1801"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eastAsia" w:asciiTheme="minorEastAsia" w:hAnsiTheme="minorEastAsia" w:eastAsiaTheme="minorEastAsia"/>
                <w:color w:val="000000"/>
                <w:sz w:val="21"/>
                <w:szCs w:val="21"/>
              </w:rPr>
            </w:pPr>
            <w:r>
              <w:rPr>
                <w:rFonts w:hint="eastAsia" w:cs="Times New Roman" w:asciiTheme="minorEastAsia" w:hAnsiTheme="minorEastAsia" w:eastAsiaTheme="minorEastAsia"/>
                <w:color w:val="000000"/>
                <w:kern w:val="0"/>
                <w:sz w:val="21"/>
                <w:szCs w:val="21"/>
                <w:lang w:val="en-US" w:eastAsia="zh-CN" w:bidi="ar-SA"/>
              </w:rPr>
              <w:t>审计法务部收到集团各部门、集团所属企业提交的重大</w:t>
            </w:r>
            <w:r>
              <w:rPr>
                <w:rFonts w:hint="default" w:cs="Times New Roman" w:asciiTheme="minorEastAsia" w:hAnsiTheme="minorEastAsia" w:eastAsiaTheme="minorEastAsia"/>
                <w:color w:val="000000"/>
                <w:kern w:val="0"/>
                <w:sz w:val="21"/>
                <w:szCs w:val="21"/>
                <w:lang w:val="en-US" w:eastAsia="zh-CN" w:bidi="ar-SA"/>
              </w:rPr>
              <w:t>经营风险事件书面报告后，应核实内容完整性，经集团主要领导和分管领导审核后，在事件发生后 2 个工作日内将相关情况由集团主要负责人签字并加盖公章后报送重庆交通开投集团</w:t>
            </w:r>
          </w:p>
        </w:tc>
        <w:tc>
          <w:tcPr>
            <w:tcW w:w="1697" w:type="dxa"/>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审计法务部</w:t>
            </w:r>
          </w:p>
        </w:tc>
        <w:tc>
          <w:tcPr>
            <w:tcW w:w="72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线下处理</w:t>
            </w:r>
          </w:p>
        </w:tc>
        <w:tc>
          <w:tcPr>
            <w:tcW w:w="1075" w:type="dxa"/>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重大经营风险事项报告</w:t>
            </w:r>
          </w:p>
        </w:tc>
        <w:tc>
          <w:tcPr>
            <w:tcW w:w="1212" w:type="dxa"/>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eastAsia"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无</w:t>
            </w:r>
          </w:p>
        </w:tc>
      </w:tr>
    </w:tbl>
    <w:p>
      <w:pPr>
        <w:pStyle w:val="5"/>
        <w:rPr>
          <w:rFonts w:hint="eastAsia"/>
          <w:lang w:val="en-US" w:eastAsia="zh-CN"/>
        </w:rPr>
      </w:pPr>
    </w:p>
    <w:p>
      <w:pPr>
        <w:pStyle w:val="9"/>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用户业务需求</w:t>
      </w:r>
    </w:p>
    <w:tbl>
      <w:tblPr>
        <w:tblStyle w:val="33"/>
        <w:tblW w:w="893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72" w:type="dxa"/>
          <w:bottom w:w="0" w:type="dxa"/>
          <w:right w:w="72" w:type="dxa"/>
        </w:tblCellMar>
      </w:tblPr>
      <w:tblGrid>
        <w:gridCol w:w="1293"/>
        <w:gridCol w:w="763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1293" w:type="dxa"/>
            <w:tcBorders>
              <w:top w:val="single" w:color="auto" w:sz="4" w:space="0"/>
              <w:left w:val="single" w:color="auto" w:sz="4" w:space="0"/>
              <w:bottom w:val="single" w:color="auto" w:sz="4" w:space="0"/>
              <w:right w:val="single" w:color="auto" w:sz="4" w:space="0"/>
            </w:tcBorders>
            <w:shd w:val="clear" w:color="auto" w:fill="EAEAEA"/>
          </w:tcPr>
          <w:p>
            <w:pPr>
              <w:pStyle w:val="94"/>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需求编号</w:t>
            </w:r>
          </w:p>
        </w:tc>
        <w:tc>
          <w:tcPr>
            <w:tcW w:w="7639" w:type="dxa"/>
            <w:tcBorders>
              <w:top w:val="single" w:color="auto" w:sz="4" w:space="0"/>
              <w:left w:val="single" w:color="auto" w:sz="4" w:space="0"/>
              <w:bottom w:val="single" w:color="auto" w:sz="4" w:space="0"/>
              <w:right w:val="single" w:color="auto" w:sz="4" w:space="0"/>
            </w:tcBorders>
            <w:shd w:val="clear" w:color="auto" w:fill="EAEAEA"/>
          </w:tcPr>
          <w:p>
            <w:pPr>
              <w:pStyle w:val="94"/>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需求详细描述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60" w:hRule="exact"/>
        </w:trPr>
        <w:tc>
          <w:tcPr>
            <w:tcW w:w="1293" w:type="dxa"/>
            <w:tcBorders>
              <w:top w:val="single" w:color="auto" w:sz="4" w:space="0"/>
              <w:left w:val="nil"/>
              <w:bottom w:val="single" w:color="auto" w:sz="6" w:space="0"/>
              <w:right w:val="nil"/>
            </w:tcBorders>
            <w:shd w:val="pct50" w:color="auto" w:fill="auto"/>
          </w:tcPr>
          <w:p>
            <w:pPr>
              <w:pStyle w:val="93"/>
              <w:spacing w:line="360" w:lineRule="auto"/>
              <w:rPr>
                <w:rFonts w:asciiTheme="minorEastAsia" w:hAnsiTheme="minorEastAsia" w:eastAsiaTheme="minorEastAsia"/>
                <w:color w:val="000000"/>
                <w:sz w:val="21"/>
                <w:szCs w:val="21"/>
              </w:rPr>
            </w:pPr>
          </w:p>
        </w:tc>
        <w:tc>
          <w:tcPr>
            <w:tcW w:w="7639" w:type="dxa"/>
            <w:tcBorders>
              <w:top w:val="single" w:color="auto" w:sz="4" w:space="0"/>
              <w:left w:val="nil"/>
              <w:bottom w:val="single" w:color="auto" w:sz="6" w:space="0"/>
              <w:right w:val="nil"/>
            </w:tcBorders>
            <w:shd w:val="pct50" w:color="auto" w:fill="auto"/>
          </w:tcPr>
          <w:p>
            <w:pPr>
              <w:pStyle w:val="93"/>
              <w:spacing w:line="360" w:lineRule="auto"/>
              <w:rPr>
                <w:rFonts w:asciiTheme="minorEastAsia" w:hAnsiTheme="minorEastAsia" w:eastAsiaTheme="minorEastAsia"/>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293" w:type="dxa"/>
            <w:tcBorders>
              <w:top w:val="nil"/>
              <w:left w:val="single" w:color="auto" w:sz="12" w:space="0"/>
              <w:bottom w:val="single" w:color="auto" w:sz="6" w:space="0"/>
              <w:right w:val="single" w:color="auto" w:sz="6" w:space="0"/>
            </w:tcBorders>
            <w:vAlign w:val="center"/>
          </w:tcPr>
          <w:p>
            <w:pPr>
              <w:pStyle w:val="93"/>
              <w:spacing w:line="360" w:lineRule="auto"/>
              <w:jc w:val="center"/>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1</w:t>
            </w:r>
          </w:p>
        </w:tc>
        <w:tc>
          <w:tcPr>
            <w:tcW w:w="7639" w:type="dxa"/>
            <w:tcBorders>
              <w:top w:val="nil"/>
              <w:left w:val="single" w:color="auto" w:sz="6" w:space="0"/>
              <w:bottom w:val="single" w:color="auto" w:sz="6" w:space="0"/>
              <w:right w:val="single" w:color="auto" w:sz="12" w:space="0"/>
            </w:tcBorders>
            <w:vAlign w:val="center"/>
          </w:tcPr>
          <w:p>
            <w:pPr>
              <w:pStyle w:val="93"/>
              <w:spacing w:line="360" w:lineRule="auto"/>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支持</w:t>
            </w:r>
            <w:r>
              <w:rPr>
                <w:rFonts w:hint="eastAsia" w:asciiTheme="minorEastAsia" w:hAnsiTheme="minorEastAsia" w:eastAsiaTheme="minorEastAsia"/>
                <w:color w:val="000000"/>
                <w:sz w:val="21"/>
                <w:szCs w:val="21"/>
              </w:rPr>
              <w:t>及时了解所辖企业发生的重大经营风险事件，以及各级报告的进展情况；能够评估事件的严重性和对企业的影响，采取相应的措施和决策；能够监督和指导企业的风险应对和整改工作，确保问题得到妥善解决；能够及时了解涉及违规违纪违法问题的情况，并进行相应的问责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293" w:type="dxa"/>
            <w:tcBorders>
              <w:top w:val="nil"/>
              <w:left w:val="single" w:color="auto" w:sz="12" w:space="0"/>
              <w:bottom w:val="single" w:color="auto" w:sz="6" w:space="0"/>
              <w:right w:val="single" w:color="auto" w:sz="6" w:space="0"/>
            </w:tcBorders>
            <w:vAlign w:val="center"/>
          </w:tcPr>
          <w:p>
            <w:pPr>
              <w:pStyle w:val="93"/>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2</w:t>
            </w:r>
          </w:p>
        </w:tc>
        <w:tc>
          <w:tcPr>
            <w:tcW w:w="7639" w:type="dxa"/>
            <w:tcBorders>
              <w:top w:val="nil"/>
              <w:left w:val="single" w:color="auto" w:sz="6" w:space="0"/>
              <w:bottom w:val="single" w:color="auto" w:sz="6" w:space="0"/>
              <w:right w:val="single" w:color="auto" w:sz="12" w:space="0"/>
            </w:tcBorders>
            <w:vAlign w:val="center"/>
          </w:tcPr>
          <w:p>
            <w:pPr>
              <w:pStyle w:val="93"/>
              <w:spacing w:line="360" w:lineRule="auto"/>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支持</w:t>
            </w:r>
            <w:r>
              <w:rPr>
                <w:rFonts w:hint="eastAsia" w:asciiTheme="minorEastAsia" w:hAnsiTheme="minorEastAsia" w:eastAsiaTheme="minorEastAsia"/>
                <w:color w:val="000000"/>
                <w:sz w:val="21"/>
                <w:szCs w:val="21"/>
              </w:rPr>
              <w:t>跟踪和监控企业的重大经营风险事件，以及各级报告的进展情况；能够对事件进行分类和评估，判断风险的严重程度和影响范围；能够制定风险应对处置方案，并与相关部门协调合作，推动方案的实施；能够及时向国资委报告事件的基本情况、发展趋势、风险处置方案、问题和困难，以及建议等。</w:t>
            </w:r>
          </w:p>
        </w:tc>
      </w:tr>
    </w:tbl>
    <w:p>
      <w:pPr>
        <w:pStyle w:val="5"/>
        <w:rPr>
          <w:rFonts w:hint="eastAsia"/>
          <w:lang w:val="en-US" w:eastAsia="zh-CN"/>
        </w:rPr>
      </w:pPr>
    </w:p>
    <w:p>
      <w:pPr>
        <w:pStyle w:val="7"/>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制度执行自查管理</w:t>
      </w:r>
      <w:bookmarkEnd w:id="25"/>
    </w:p>
    <w:p>
      <w:pPr>
        <w:pStyle w:val="8"/>
      </w:pPr>
      <w:bookmarkStart w:id="26" w:name="_Toc27604"/>
      <w:r>
        <w:rPr>
          <w:rFonts w:hint="eastAsia"/>
          <w:lang w:val="en-US" w:eastAsia="zh-CN"/>
        </w:rPr>
        <w:t>业务状况</w:t>
      </w:r>
    </w:p>
    <w:p>
      <w:pPr>
        <w:pStyle w:val="17"/>
        <w:spacing w:line="360" w:lineRule="auto"/>
        <w:ind w:firstLine="420" w:firstLineChars="0"/>
        <w:rPr>
          <w:rFonts w:hint="eastAsia" w:eastAsia="宋体"/>
          <w:sz w:val="24"/>
          <w:szCs w:val="24"/>
          <w:lang w:eastAsia="zh-CN"/>
        </w:rPr>
      </w:pPr>
      <w:r>
        <w:rPr>
          <w:rFonts w:hint="eastAsia"/>
          <w:sz w:val="24"/>
          <w:szCs w:val="24"/>
          <w:lang w:val="en-US" w:eastAsia="zh-CN"/>
        </w:rPr>
        <w:t>由</w:t>
      </w:r>
      <w:r>
        <w:rPr>
          <w:rFonts w:hint="eastAsia"/>
          <w:sz w:val="24"/>
          <w:szCs w:val="24"/>
        </w:rPr>
        <w:t>审计法务部</w:t>
      </w:r>
      <w:r>
        <w:rPr>
          <w:rFonts w:hint="eastAsia"/>
          <w:sz w:val="24"/>
          <w:szCs w:val="24"/>
          <w:lang w:val="en-US" w:eastAsia="zh-CN"/>
        </w:rPr>
        <w:t>下发年度制度执行检查计划通知，通知包含检查内容、报送内容等信息。各</w:t>
      </w:r>
      <w:r>
        <w:rPr>
          <w:rFonts w:hint="eastAsia"/>
          <w:sz w:val="24"/>
          <w:szCs w:val="24"/>
        </w:rPr>
        <w:t>部门</w:t>
      </w:r>
      <w:r>
        <w:rPr>
          <w:rFonts w:hint="eastAsia"/>
          <w:sz w:val="24"/>
          <w:szCs w:val="24"/>
          <w:lang w:val="en-US" w:eastAsia="zh-CN"/>
        </w:rPr>
        <w:t>在收到检查通知后开展制度执行检查，并按要求报送年度</w:t>
      </w:r>
      <w:r>
        <w:rPr>
          <w:rFonts w:hint="eastAsia"/>
          <w:sz w:val="24"/>
          <w:szCs w:val="24"/>
        </w:rPr>
        <w:t>制度执行</w:t>
      </w:r>
      <w:r>
        <w:rPr>
          <w:rFonts w:hint="eastAsia"/>
          <w:sz w:val="24"/>
          <w:szCs w:val="24"/>
          <w:lang w:val="en-US" w:eastAsia="zh-CN"/>
        </w:rPr>
        <w:t>检查情况的报告</w:t>
      </w:r>
      <w:r>
        <w:rPr>
          <w:rFonts w:hint="eastAsia"/>
          <w:sz w:val="24"/>
          <w:szCs w:val="24"/>
        </w:rPr>
        <w:t>，</w:t>
      </w:r>
      <w:r>
        <w:rPr>
          <w:rFonts w:hint="eastAsia"/>
          <w:sz w:val="24"/>
          <w:szCs w:val="24"/>
          <w:lang w:val="en-US" w:eastAsia="zh-CN"/>
        </w:rPr>
        <w:t>报告需包含制度制定总体情况、本年度制度执行检查情况、所属企业监督检查情况、工作亮点、发现问题、问题整改落实情况以及下一年度制度执行检查工作计划等信息。</w:t>
      </w:r>
      <w:r>
        <w:rPr>
          <w:rFonts w:hint="eastAsia"/>
          <w:sz w:val="24"/>
          <w:szCs w:val="24"/>
        </w:rPr>
        <w:t>自查报告</w:t>
      </w:r>
      <w:r>
        <w:rPr>
          <w:rFonts w:hint="eastAsia"/>
          <w:sz w:val="24"/>
          <w:szCs w:val="24"/>
          <w:lang w:val="en-US" w:eastAsia="zh-CN"/>
        </w:rPr>
        <w:t>中明确有需整改的问题</w:t>
      </w:r>
      <w:r>
        <w:rPr>
          <w:rFonts w:hint="eastAsia"/>
          <w:sz w:val="24"/>
          <w:szCs w:val="24"/>
        </w:rPr>
        <w:t>，</w:t>
      </w:r>
      <w:r>
        <w:rPr>
          <w:rFonts w:hint="eastAsia"/>
          <w:sz w:val="24"/>
          <w:szCs w:val="24"/>
          <w:lang w:val="en-US" w:eastAsia="zh-CN"/>
        </w:rPr>
        <w:t>被整改部门需</w:t>
      </w:r>
      <w:r>
        <w:rPr>
          <w:rFonts w:hint="eastAsia"/>
          <w:sz w:val="24"/>
          <w:szCs w:val="24"/>
        </w:rPr>
        <w:t>每半年</w:t>
      </w:r>
      <w:r>
        <w:rPr>
          <w:rFonts w:hint="eastAsia"/>
          <w:sz w:val="24"/>
          <w:szCs w:val="24"/>
          <w:lang w:val="en-US" w:eastAsia="zh-CN"/>
        </w:rPr>
        <w:t>对问题</w:t>
      </w:r>
      <w:r>
        <w:rPr>
          <w:rFonts w:hint="eastAsia"/>
          <w:sz w:val="24"/>
          <w:szCs w:val="24"/>
        </w:rPr>
        <w:t>整改</w:t>
      </w:r>
      <w:r>
        <w:rPr>
          <w:rFonts w:hint="eastAsia"/>
          <w:sz w:val="24"/>
          <w:szCs w:val="24"/>
          <w:lang w:val="en-US" w:eastAsia="zh-CN"/>
        </w:rPr>
        <w:t>情况进行报送</w:t>
      </w:r>
      <w:r>
        <w:rPr>
          <w:rFonts w:hint="eastAsia"/>
          <w:sz w:val="24"/>
          <w:szCs w:val="24"/>
          <w:lang w:eastAsia="zh-CN"/>
        </w:rPr>
        <w:t>。</w:t>
      </w: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业务基本需求</w:t>
      </w:r>
    </w:p>
    <w:p>
      <w:pPr>
        <w:pStyle w:val="17"/>
        <w:spacing w:line="360" w:lineRule="auto"/>
        <w:ind w:firstLine="420" w:firstLineChars="0"/>
        <w:rPr>
          <w:rFonts w:hint="default"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eastAsia="zh-CN"/>
        </w:rPr>
        <w:t>1.实现年度制度执行检查管理，包含年度制度执行检查通知管理、年度制度执行检查工作计划管理、制度执行检查工作过程管理、制度执行检查发现问题管理。</w:t>
      </w: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详细需求说明</w:t>
      </w:r>
    </w:p>
    <w:p>
      <w:pPr>
        <w:pStyle w:val="9"/>
      </w:pPr>
      <w:r>
        <w:rPr>
          <w:rFonts w:hint="eastAsia"/>
          <w:lang w:val="en-US" w:eastAsia="zh-CN"/>
        </w:rPr>
        <w:t>业务场景</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5652"/>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shd w:val="clear" w:color="auto" w:fill="D7D7D7" w:themeFill="background1" w:themeFillShade="D8"/>
            <w:vAlign w:val="center"/>
          </w:tcPr>
          <w:p>
            <w:pPr>
              <w:pStyle w:val="5"/>
              <w:ind w:left="0" w:leftChars="0" w:firstLine="0" w:firstLineChars="0"/>
              <w:jc w:val="center"/>
              <w:rPr>
                <w:rFonts w:hint="eastAsia" w:eastAsia="宋体"/>
                <w:b/>
                <w:bCs/>
                <w:sz w:val="21"/>
                <w:szCs w:val="21"/>
                <w:vertAlign w:val="baseline"/>
                <w:lang w:val="en-US" w:eastAsia="zh-CN"/>
              </w:rPr>
            </w:pPr>
            <w:r>
              <w:rPr>
                <w:rFonts w:hint="eastAsia"/>
                <w:b/>
                <w:bCs/>
                <w:sz w:val="21"/>
                <w:szCs w:val="21"/>
                <w:vertAlign w:val="baseline"/>
                <w:lang w:val="en-US" w:eastAsia="zh-CN"/>
              </w:rPr>
              <w:t>阶段</w:t>
            </w:r>
          </w:p>
        </w:tc>
        <w:tc>
          <w:tcPr>
            <w:tcW w:w="5652" w:type="dxa"/>
            <w:shd w:val="clear" w:color="auto" w:fill="D7D7D7" w:themeFill="background1" w:themeFillShade="D8"/>
            <w:vAlign w:val="center"/>
          </w:tcPr>
          <w:p>
            <w:pPr>
              <w:pStyle w:val="5"/>
              <w:ind w:left="0" w:leftChars="0" w:firstLine="0" w:firstLineChars="0"/>
              <w:rPr>
                <w:rFonts w:hint="eastAsia" w:eastAsia="宋体"/>
                <w:b/>
                <w:bCs/>
                <w:sz w:val="21"/>
                <w:szCs w:val="21"/>
                <w:vertAlign w:val="baseline"/>
                <w:lang w:val="en-US" w:eastAsia="zh-CN"/>
              </w:rPr>
            </w:pPr>
            <w:r>
              <w:rPr>
                <w:rFonts w:hint="eastAsia"/>
                <w:b/>
                <w:bCs/>
                <w:sz w:val="21"/>
                <w:szCs w:val="21"/>
                <w:vertAlign w:val="baseline"/>
                <w:lang w:val="en-US" w:eastAsia="zh-CN"/>
              </w:rPr>
              <w:t>场景</w:t>
            </w:r>
          </w:p>
        </w:tc>
        <w:tc>
          <w:tcPr>
            <w:tcW w:w="1820" w:type="dxa"/>
            <w:shd w:val="clear" w:color="auto" w:fill="D7D7D7" w:themeFill="background1" w:themeFillShade="D8"/>
            <w:vAlign w:val="center"/>
          </w:tcPr>
          <w:p>
            <w:pPr>
              <w:pStyle w:val="5"/>
              <w:ind w:left="0" w:leftChars="0" w:firstLine="0" w:firstLineChars="0"/>
              <w:rPr>
                <w:rFonts w:hint="default" w:eastAsia="宋体"/>
                <w:b/>
                <w:bCs/>
                <w:sz w:val="21"/>
                <w:szCs w:val="21"/>
                <w:vertAlign w:val="baseline"/>
                <w:lang w:val="en-US" w:eastAsia="zh-CN"/>
              </w:rPr>
            </w:pPr>
            <w:r>
              <w:rPr>
                <w:rFonts w:hint="eastAsia"/>
                <w:b/>
                <w:bCs/>
                <w:sz w:val="21"/>
                <w:szCs w:val="21"/>
                <w:vertAlign w:val="baseline"/>
                <w:lang w:val="en-US" w:eastAsia="zh-CN"/>
              </w:rPr>
              <w:t>部门/用户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jc w:val="center"/>
              <w:rPr>
                <w:rFonts w:hint="default" w:eastAsia="宋体"/>
                <w:sz w:val="21"/>
                <w:szCs w:val="21"/>
                <w:vertAlign w:val="baseline"/>
                <w:lang w:val="en-US" w:eastAsia="zh-CN"/>
              </w:rPr>
            </w:pPr>
            <w:r>
              <w:rPr>
                <w:rFonts w:hint="eastAsia"/>
                <w:sz w:val="21"/>
                <w:szCs w:val="21"/>
                <w:vertAlign w:val="baseline"/>
                <w:lang w:val="en-US" w:eastAsia="zh-CN"/>
              </w:rPr>
              <w:t>下发通知</w:t>
            </w:r>
          </w:p>
        </w:tc>
        <w:tc>
          <w:tcPr>
            <w:tcW w:w="5652"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由审计法务部下发年度制度执行检查通知给各部门</w:t>
            </w:r>
          </w:p>
        </w:tc>
        <w:tc>
          <w:tcPr>
            <w:tcW w:w="1820"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审计法务部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jc w:val="center"/>
              <w:rPr>
                <w:rFonts w:hint="default" w:eastAsia="宋体"/>
                <w:sz w:val="21"/>
                <w:szCs w:val="21"/>
                <w:vertAlign w:val="baseline"/>
                <w:lang w:val="en-US" w:eastAsia="zh-CN"/>
              </w:rPr>
            </w:pPr>
            <w:r>
              <w:rPr>
                <w:rFonts w:hint="eastAsia"/>
                <w:sz w:val="21"/>
                <w:szCs w:val="21"/>
                <w:vertAlign w:val="baseline"/>
                <w:lang w:val="en-US" w:eastAsia="zh-CN"/>
              </w:rPr>
              <w:t>制度检查</w:t>
            </w:r>
          </w:p>
        </w:tc>
        <w:tc>
          <w:tcPr>
            <w:tcW w:w="5652"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各部门在收到制度执行检查通知后，开展检查工作，并报送年度制度执行检查报告</w:t>
            </w:r>
          </w:p>
        </w:tc>
        <w:tc>
          <w:tcPr>
            <w:tcW w:w="1820"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审计法务部/各部门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jc w:val="center"/>
              <w:rPr>
                <w:rFonts w:hint="default"/>
                <w:sz w:val="21"/>
                <w:szCs w:val="21"/>
                <w:vertAlign w:val="baseline"/>
                <w:lang w:val="en-US" w:eastAsia="zh-CN"/>
              </w:rPr>
            </w:pPr>
            <w:r>
              <w:rPr>
                <w:rFonts w:hint="eastAsia"/>
                <w:sz w:val="21"/>
                <w:szCs w:val="21"/>
                <w:vertAlign w:val="baseline"/>
                <w:lang w:val="en-US" w:eastAsia="zh-CN"/>
              </w:rPr>
              <w:t>问题整改</w:t>
            </w:r>
          </w:p>
        </w:tc>
        <w:tc>
          <w:tcPr>
            <w:tcW w:w="5652" w:type="dxa"/>
            <w:vAlign w:val="center"/>
          </w:tcPr>
          <w:p>
            <w:pPr>
              <w:pStyle w:val="5"/>
              <w:ind w:left="0" w:leftChars="0" w:firstLine="0" w:firstLineChars="0"/>
              <w:rPr>
                <w:rFonts w:hint="default" w:eastAsia="宋体"/>
                <w:sz w:val="21"/>
                <w:szCs w:val="21"/>
                <w:lang w:val="en-US" w:eastAsia="zh-CN"/>
              </w:rPr>
            </w:pPr>
            <w:r>
              <w:rPr>
                <w:rFonts w:hint="eastAsia"/>
                <w:sz w:val="21"/>
                <w:szCs w:val="21"/>
                <w:lang w:val="en-US" w:eastAsia="zh-CN"/>
              </w:rPr>
              <w:t>在年度制度执行检查报告中明确有问题需整改的，由对应部门完成问题整改，审计法务部负责每半年跟进问题整改进度，各部门报送问题整改完成情况</w:t>
            </w:r>
          </w:p>
        </w:tc>
        <w:tc>
          <w:tcPr>
            <w:tcW w:w="1820" w:type="dxa"/>
            <w:vAlign w:val="center"/>
          </w:tcPr>
          <w:p>
            <w:pPr>
              <w:pStyle w:val="5"/>
              <w:ind w:left="0" w:leftChars="0" w:firstLine="0" w:firstLineChars="0"/>
              <w:rPr>
                <w:rFonts w:hint="default"/>
                <w:sz w:val="21"/>
                <w:szCs w:val="21"/>
                <w:vertAlign w:val="baseline"/>
                <w:lang w:val="en-US" w:eastAsia="zh-CN"/>
              </w:rPr>
            </w:pPr>
            <w:r>
              <w:rPr>
                <w:rFonts w:hint="eastAsia"/>
                <w:sz w:val="21"/>
                <w:szCs w:val="21"/>
                <w:vertAlign w:val="baseline"/>
                <w:lang w:val="en-US" w:eastAsia="zh-CN"/>
              </w:rPr>
              <w:t>审计法务部/各部门</w:t>
            </w:r>
          </w:p>
        </w:tc>
      </w:tr>
    </w:tbl>
    <w:p>
      <w:pPr>
        <w:pStyle w:val="5"/>
      </w:pPr>
    </w:p>
    <w:p>
      <w:pPr>
        <w:pStyle w:val="9"/>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流程图</w:t>
      </w:r>
    </w:p>
    <w:p>
      <w:pPr>
        <w:pStyle w:val="5"/>
        <w:rPr>
          <w:rFonts w:hint="default"/>
          <w:b/>
          <w:bCs/>
          <w:sz w:val="24"/>
          <w:szCs w:val="24"/>
          <w:lang w:val="en-US" w:eastAsia="zh-CN"/>
        </w:rPr>
      </w:pPr>
      <w:r>
        <w:rPr>
          <w:rFonts w:hint="eastAsia" w:cs="Times New Roman"/>
          <w:b/>
          <w:bCs/>
          <w:kern w:val="2"/>
          <w:sz w:val="24"/>
          <w:szCs w:val="24"/>
          <w:lang w:val="en-US" w:eastAsia="zh-CN" w:bidi="ar-SA"/>
        </w:rPr>
        <w:t>1、制度执行自查流程图</w:t>
      </w:r>
    </w:p>
    <w:p>
      <w:pPr>
        <w:pStyle w:val="5"/>
        <w:rPr>
          <w:rFonts w:hint="eastAsia"/>
          <w:lang w:val="en-US" w:eastAsia="zh-CN"/>
        </w:rPr>
      </w:pPr>
    </w:p>
    <w:p>
      <w:pPr>
        <w:pStyle w:val="5"/>
        <w:ind w:left="0" w:leftChars="0" w:firstLine="0" w:firstLineChars="0"/>
        <w:rPr>
          <w:rFonts w:hint="eastAsia" w:cs="Times New Roman"/>
          <w:kern w:val="2"/>
          <w:sz w:val="21"/>
          <w:szCs w:val="21"/>
          <w:lang w:val="en-US" w:eastAsia="zh-CN" w:bidi="ar-SA"/>
        </w:rPr>
      </w:pPr>
      <w:r>
        <w:rPr>
          <w:rFonts w:ascii="宋体" w:hAnsi="宋体" w:eastAsia="宋体" w:cs="宋体"/>
          <w:sz w:val="24"/>
          <w:szCs w:val="24"/>
        </w:rPr>
        <w:drawing>
          <wp:inline distT="0" distB="0" distL="114300" distR="114300">
            <wp:extent cx="5690235" cy="4415155"/>
            <wp:effectExtent l="0" t="0" r="0" b="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16"/>
                    <a:stretch>
                      <a:fillRect/>
                    </a:stretch>
                  </pic:blipFill>
                  <pic:spPr>
                    <a:xfrm>
                      <a:off x="0" y="0"/>
                      <a:ext cx="5690235" cy="4415155"/>
                    </a:xfrm>
                    <a:prstGeom prst="rect">
                      <a:avLst/>
                    </a:prstGeom>
                    <a:noFill/>
                    <a:ln w="9525">
                      <a:noFill/>
                    </a:ln>
                  </pic:spPr>
                </pic:pic>
              </a:graphicData>
            </a:graphic>
          </wp:inline>
        </w:drawing>
      </w:r>
    </w:p>
    <w:p>
      <w:pPr>
        <w:pStyle w:val="5"/>
        <w:rPr>
          <w:rFonts w:hint="default" w:cs="Times New Roman"/>
          <w:b/>
          <w:bCs/>
          <w:kern w:val="2"/>
          <w:sz w:val="24"/>
          <w:szCs w:val="24"/>
          <w:lang w:val="en-US" w:eastAsia="zh-CN" w:bidi="ar-SA"/>
        </w:rPr>
      </w:pPr>
      <w:r>
        <w:rPr>
          <w:rFonts w:hint="eastAsia" w:cs="Times New Roman"/>
          <w:b/>
          <w:bCs/>
          <w:kern w:val="2"/>
          <w:sz w:val="24"/>
          <w:szCs w:val="24"/>
          <w:lang w:val="en-US" w:eastAsia="zh-CN" w:bidi="ar-SA"/>
        </w:rPr>
        <w:t>流程说明：</w:t>
      </w:r>
    </w:p>
    <w:tbl>
      <w:tblPr>
        <w:tblStyle w:val="33"/>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72" w:type="dxa"/>
          <w:bottom w:w="0" w:type="dxa"/>
          <w:right w:w="72" w:type="dxa"/>
        </w:tblCellMar>
      </w:tblPr>
      <w:tblGrid>
        <w:gridCol w:w="1127"/>
        <w:gridCol w:w="1292"/>
        <w:gridCol w:w="1801"/>
        <w:gridCol w:w="1695"/>
        <w:gridCol w:w="723"/>
        <w:gridCol w:w="1074"/>
        <w:gridCol w:w="12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blHeader/>
        </w:trPr>
        <w:tc>
          <w:tcPr>
            <w:tcW w:w="5000" w:type="pct"/>
            <w:gridSpan w:val="7"/>
            <w:tcBorders>
              <w:top w:val="single" w:color="auto" w:sz="12" w:space="0"/>
              <w:left w:val="single" w:color="auto" w:sz="12" w:space="0"/>
              <w:bottom w:val="single" w:color="auto" w:sz="8" w:space="0"/>
              <w:right w:val="single" w:color="auto" w:sz="12" w:space="0"/>
            </w:tcBorders>
            <w:shd w:val="clear" w:color="auto" w:fill="EAEAEA"/>
            <w:vAlign w:val="center"/>
          </w:tcPr>
          <w:p>
            <w:pPr>
              <w:pStyle w:val="94"/>
              <w:spacing w:line="360" w:lineRule="auto"/>
              <w:jc w:val="both"/>
              <w:rPr>
                <w:rFonts w:asciiTheme="minorEastAsia" w:hAnsiTheme="minorEastAsia" w:eastAsiaTheme="minorEastAsia"/>
                <w:b w:val="0"/>
                <w:bCs/>
                <w:color w:val="000000"/>
                <w:sz w:val="21"/>
                <w:szCs w:val="21"/>
              </w:rPr>
            </w:pPr>
            <w:r>
              <w:rPr>
                <w:rFonts w:hint="eastAsia" w:asciiTheme="minorEastAsia" w:hAnsiTheme="minorEastAsia" w:eastAsiaTheme="minorEastAsia"/>
                <w:color w:val="000000"/>
                <w:sz w:val="21"/>
                <w:szCs w:val="21"/>
              </w:rPr>
              <w:t>流程编号：</w:t>
            </w:r>
            <w:r>
              <w:rPr>
                <w:rFonts w:hint="eastAsia" w:asciiTheme="minorEastAsia" w:hAnsiTheme="minorEastAsia" w:eastAsiaTheme="minorEastAsia"/>
                <w:color w:val="000000"/>
                <w:sz w:val="21"/>
                <w:szCs w:val="21"/>
                <w:lang w:val="en-US" w:eastAsia="zh-CN"/>
              </w:rPr>
              <w:t>FP_ZDZC_001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8" w:space="0"/>
              <w:right w:val="single" w:color="auto" w:sz="12" w:space="0"/>
            </w:tcBorders>
            <w:shd w:val="clear" w:color="auto" w:fill="EAEAEA"/>
            <w:vAlign w:val="center"/>
          </w:tcPr>
          <w:p>
            <w:pPr>
              <w:pStyle w:val="94"/>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流程名称：制度</w:t>
            </w:r>
            <w:r>
              <w:rPr>
                <w:rFonts w:hint="eastAsia" w:asciiTheme="minorEastAsia" w:hAnsiTheme="minorEastAsia" w:eastAsiaTheme="minorEastAsia"/>
                <w:color w:val="000000"/>
                <w:sz w:val="21"/>
                <w:szCs w:val="21"/>
                <w:lang w:val="en-US" w:eastAsia="zh-CN"/>
              </w:rPr>
              <w:t>执行自查</w:t>
            </w:r>
            <w:r>
              <w:rPr>
                <w:rFonts w:hint="eastAsia" w:asciiTheme="minorEastAsia" w:hAnsiTheme="minorEastAsia" w:eastAsiaTheme="minorEastAsia"/>
                <w:color w:val="000000"/>
                <w:sz w:val="21"/>
                <w:szCs w:val="21"/>
              </w:rPr>
              <w:t>流程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12" w:space="0"/>
              <w:right w:val="single" w:color="auto" w:sz="12" w:space="0"/>
            </w:tcBorders>
            <w:shd w:val="clear" w:color="auto" w:fill="EAEAEA"/>
            <w:vAlign w:val="center"/>
          </w:tcPr>
          <w:p>
            <w:pPr>
              <w:pStyle w:val="94"/>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rPr>
              <w:t>流程版本：v</w:t>
            </w:r>
            <w:r>
              <w:rPr>
                <w:rFonts w:hint="eastAsia" w:asciiTheme="minorEastAsia" w:hAnsiTheme="minorEastAsia" w:eastAsiaTheme="minorEastAsia"/>
                <w:color w:val="000000"/>
                <w:sz w:val="21"/>
                <w:szCs w:val="21"/>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631" w:type="pct"/>
            <w:tcBorders>
              <w:top w:val="single" w:color="auto" w:sz="12" w:space="0"/>
              <w:left w:val="single" w:color="auto" w:sz="12" w:space="0"/>
              <w:bottom w:val="single" w:color="auto" w:sz="6" w:space="0"/>
              <w:right w:val="single" w:color="auto" w:sz="6" w:space="0"/>
            </w:tcBorders>
            <w:shd w:val="clear" w:color="auto" w:fill="EAEAEA"/>
            <w:vAlign w:val="center"/>
          </w:tcPr>
          <w:p>
            <w:pPr>
              <w:pStyle w:val="94"/>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步骤编号</w:t>
            </w:r>
          </w:p>
        </w:tc>
        <w:tc>
          <w:tcPr>
            <w:tcW w:w="723"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步骤名称</w:t>
            </w:r>
          </w:p>
        </w:tc>
        <w:tc>
          <w:tcPr>
            <w:tcW w:w="1008"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业务过程描述</w:t>
            </w:r>
          </w:p>
        </w:tc>
        <w:tc>
          <w:tcPr>
            <w:tcW w:w="949"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责任部门/岗位</w:t>
            </w:r>
          </w:p>
        </w:tc>
        <w:tc>
          <w:tcPr>
            <w:tcW w:w="405"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处理方式</w:t>
            </w:r>
          </w:p>
        </w:tc>
        <w:tc>
          <w:tcPr>
            <w:tcW w:w="601"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输入文档</w:t>
            </w:r>
          </w:p>
        </w:tc>
        <w:tc>
          <w:tcPr>
            <w:tcW w:w="678" w:type="pct"/>
            <w:tcBorders>
              <w:top w:val="single" w:color="auto" w:sz="12" w:space="0"/>
              <w:left w:val="single" w:color="auto" w:sz="8" w:space="0"/>
              <w:bottom w:val="single" w:color="auto" w:sz="6" w:space="0"/>
              <w:right w:val="single" w:color="auto" w:sz="12" w:space="0"/>
            </w:tcBorders>
            <w:shd w:val="clear" w:color="auto" w:fill="EAEAEA"/>
            <w:vAlign w:val="center"/>
          </w:tcPr>
          <w:p>
            <w:pPr>
              <w:pStyle w:val="94"/>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输出文档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60" w:hRule="exact"/>
        </w:trPr>
        <w:tc>
          <w:tcPr>
            <w:tcW w:w="631" w:type="pct"/>
            <w:tcBorders>
              <w:top w:val="single" w:color="auto" w:sz="6" w:space="0"/>
              <w:left w:val="nil"/>
              <w:bottom w:val="single" w:color="auto" w:sz="6" w:space="0"/>
              <w:right w:val="single" w:color="auto" w:sz="6" w:space="0"/>
            </w:tcBorders>
            <w:shd w:val="pct50" w:color="auto" w:fill="auto"/>
            <w:vAlign w:val="center"/>
          </w:tcPr>
          <w:p>
            <w:pPr>
              <w:pStyle w:val="93"/>
              <w:spacing w:line="360" w:lineRule="auto"/>
              <w:jc w:val="both"/>
              <w:rPr>
                <w:rFonts w:asciiTheme="minorEastAsia" w:hAnsiTheme="minorEastAsia" w:eastAsiaTheme="minorEastAsia"/>
                <w:color w:val="000000"/>
                <w:sz w:val="21"/>
                <w:szCs w:val="21"/>
              </w:rPr>
            </w:pPr>
          </w:p>
        </w:tc>
        <w:tc>
          <w:tcPr>
            <w:tcW w:w="723"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spacing w:line="360" w:lineRule="auto"/>
              <w:jc w:val="both"/>
              <w:rPr>
                <w:rFonts w:asciiTheme="minorEastAsia" w:hAnsiTheme="minorEastAsia" w:eastAsiaTheme="minorEastAsia"/>
                <w:color w:val="000000"/>
                <w:sz w:val="21"/>
                <w:szCs w:val="21"/>
              </w:rPr>
            </w:pPr>
          </w:p>
        </w:tc>
        <w:tc>
          <w:tcPr>
            <w:tcW w:w="1008"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spacing w:line="360" w:lineRule="auto"/>
              <w:jc w:val="both"/>
              <w:rPr>
                <w:rFonts w:asciiTheme="minorEastAsia" w:hAnsiTheme="minorEastAsia" w:eastAsiaTheme="minorEastAsia"/>
                <w:color w:val="000000"/>
                <w:sz w:val="21"/>
                <w:szCs w:val="21"/>
              </w:rPr>
            </w:pPr>
          </w:p>
        </w:tc>
        <w:tc>
          <w:tcPr>
            <w:tcW w:w="949"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spacing w:line="360" w:lineRule="auto"/>
              <w:jc w:val="both"/>
              <w:rPr>
                <w:rFonts w:asciiTheme="minorEastAsia" w:hAnsiTheme="minorEastAsia" w:eastAsiaTheme="minorEastAsia"/>
                <w:color w:val="000000"/>
                <w:sz w:val="21"/>
                <w:szCs w:val="21"/>
              </w:rPr>
            </w:pPr>
          </w:p>
        </w:tc>
        <w:tc>
          <w:tcPr>
            <w:tcW w:w="405"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spacing w:line="360" w:lineRule="auto"/>
              <w:jc w:val="both"/>
              <w:rPr>
                <w:rFonts w:asciiTheme="minorEastAsia" w:hAnsiTheme="minorEastAsia" w:eastAsiaTheme="minorEastAsia"/>
                <w:color w:val="000000"/>
                <w:sz w:val="21"/>
                <w:szCs w:val="21"/>
              </w:rPr>
            </w:pPr>
          </w:p>
        </w:tc>
        <w:tc>
          <w:tcPr>
            <w:tcW w:w="601"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spacing w:line="360" w:lineRule="auto"/>
              <w:jc w:val="both"/>
              <w:rPr>
                <w:rFonts w:asciiTheme="minorEastAsia" w:hAnsiTheme="minorEastAsia" w:eastAsiaTheme="minorEastAsia"/>
                <w:color w:val="000000"/>
                <w:sz w:val="21"/>
                <w:szCs w:val="21"/>
              </w:rPr>
            </w:pPr>
          </w:p>
        </w:tc>
        <w:tc>
          <w:tcPr>
            <w:tcW w:w="678" w:type="pct"/>
            <w:tcBorders>
              <w:top w:val="single" w:color="auto" w:sz="6" w:space="0"/>
              <w:left w:val="single" w:color="auto" w:sz="8" w:space="0"/>
              <w:bottom w:val="single" w:color="auto" w:sz="6" w:space="0"/>
              <w:right w:val="nil"/>
            </w:tcBorders>
            <w:shd w:val="pct50" w:color="auto" w:fill="auto"/>
            <w:vAlign w:val="center"/>
          </w:tcPr>
          <w:p>
            <w:pPr>
              <w:pStyle w:val="93"/>
              <w:spacing w:line="360" w:lineRule="auto"/>
              <w:jc w:val="both"/>
              <w:rPr>
                <w:rFonts w:asciiTheme="minorEastAsia" w:hAnsiTheme="minorEastAsia" w:eastAsiaTheme="minorEastAsia"/>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A1_</w:t>
            </w:r>
            <w:r>
              <w:rPr>
                <w:rFonts w:hint="eastAsia" w:asciiTheme="minorEastAsia" w:hAnsiTheme="minorEastAsia" w:eastAsiaTheme="minorEastAsia"/>
                <w:color w:val="000000"/>
                <w:sz w:val="21"/>
                <w:szCs w:val="21"/>
              </w:rPr>
              <w:t>0</w:t>
            </w:r>
            <w:r>
              <w:rPr>
                <w:rFonts w:asciiTheme="minorEastAsia" w:hAnsiTheme="minorEastAsia" w:eastAsiaTheme="minorEastAsia"/>
                <w:color w:val="000000"/>
                <w:sz w:val="21"/>
                <w:szCs w:val="21"/>
              </w:rPr>
              <w:t>1</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启动检查</w:t>
            </w:r>
            <w:r>
              <w:rPr>
                <w:rFonts w:hint="eastAsia" w:asciiTheme="minorEastAsia" w:hAnsiTheme="minorEastAsia" w:eastAsiaTheme="minorEastAsia"/>
                <w:color w:val="000000"/>
                <w:sz w:val="21"/>
                <w:szCs w:val="21"/>
              </w:rPr>
              <w:t>通知</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根据自查计划启动自查通知</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自查计划</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检</w:t>
            </w:r>
            <w:r>
              <w:rPr>
                <w:rFonts w:hint="eastAsia" w:asciiTheme="minorEastAsia" w:hAnsiTheme="minorEastAsia" w:eastAsiaTheme="minorEastAsia"/>
                <w:color w:val="000000"/>
                <w:sz w:val="21"/>
                <w:szCs w:val="21"/>
              </w:rPr>
              <w:t>查通知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A1_</w:t>
            </w:r>
            <w:r>
              <w:rPr>
                <w:rFonts w:hint="eastAsia" w:asciiTheme="minorEastAsia" w:hAnsiTheme="minorEastAsia" w:eastAsiaTheme="minorEastAsia"/>
                <w:color w:val="000000"/>
                <w:sz w:val="21"/>
                <w:szCs w:val="21"/>
              </w:rPr>
              <w:t>0</w:t>
            </w:r>
            <w:r>
              <w:rPr>
                <w:rFonts w:asciiTheme="minorEastAsia" w:hAnsiTheme="minorEastAsia" w:eastAsiaTheme="minorEastAsia"/>
                <w:color w:val="000000"/>
                <w:sz w:val="21"/>
                <w:szCs w:val="21"/>
              </w:rPr>
              <w:t>2</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检查本年度制度执行情况并报告</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根据自查通知进行自查并形成报告</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相关部门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asciiTheme="minorEastAsia" w:hAnsiTheme="minorEastAsia" w:eastAsiaTheme="minorEastAsia"/>
                <w:color w:val="000000"/>
                <w:sz w:val="21"/>
                <w:szCs w:val="21"/>
              </w:rPr>
            </w:pPr>
          </w:p>
        </w:tc>
        <w:tc>
          <w:tcPr>
            <w:tcW w:w="678" w:type="pct"/>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检</w:t>
            </w:r>
            <w:r>
              <w:rPr>
                <w:rFonts w:hint="eastAsia" w:asciiTheme="minorEastAsia" w:hAnsiTheme="minorEastAsia" w:eastAsiaTheme="minorEastAsia"/>
                <w:color w:val="000000"/>
                <w:sz w:val="21"/>
                <w:szCs w:val="21"/>
              </w:rPr>
              <w:t>查报告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A1_</w:t>
            </w:r>
            <w:r>
              <w:rPr>
                <w:rFonts w:hint="eastAsia" w:asciiTheme="minorEastAsia" w:hAnsiTheme="minorEastAsia" w:eastAsiaTheme="minorEastAsia"/>
                <w:color w:val="000000"/>
                <w:sz w:val="21"/>
                <w:szCs w:val="21"/>
              </w:rPr>
              <w:t>0</w:t>
            </w:r>
            <w:r>
              <w:rPr>
                <w:rFonts w:asciiTheme="minorEastAsia" w:hAnsiTheme="minorEastAsia" w:eastAsiaTheme="minorEastAsia"/>
                <w:color w:val="000000"/>
                <w:sz w:val="21"/>
                <w:szCs w:val="21"/>
              </w:rPr>
              <w:t>3</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汇总报告</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汇总</w:t>
            </w:r>
            <w:r>
              <w:rPr>
                <w:rFonts w:hint="eastAsia" w:asciiTheme="minorEastAsia" w:hAnsiTheme="minorEastAsia" w:eastAsiaTheme="minorEastAsia"/>
                <w:color w:val="000000"/>
                <w:sz w:val="21"/>
                <w:szCs w:val="21"/>
              </w:rPr>
              <w:t>各部门</w:t>
            </w:r>
            <w:r>
              <w:rPr>
                <w:rFonts w:hint="eastAsia" w:asciiTheme="minorEastAsia" w:hAnsiTheme="minorEastAsia" w:eastAsiaTheme="minorEastAsia"/>
                <w:color w:val="000000"/>
                <w:sz w:val="21"/>
                <w:szCs w:val="21"/>
                <w:lang w:val="en-US" w:eastAsia="zh-CN"/>
              </w:rPr>
              <w:t>检</w:t>
            </w:r>
            <w:r>
              <w:rPr>
                <w:rFonts w:hint="eastAsia" w:asciiTheme="minorEastAsia" w:hAnsiTheme="minorEastAsia" w:eastAsiaTheme="minorEastAsia"/>
                <w:color w:val="000000"/>
                <w:sz w:val="21"/>
                <w:szCs w:val="21"/>
              </w:rPr>
              <w:t>查报告</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审计法务部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检查报告</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年度制度执行检查报告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A1_</w:t>
            </w:r>
            <w:r>
              <w:rPr>
                <w:rFonts w:hint="eastAsia" w:asciiTheme="minorEastAsia" w:hAnsiTheme="minorEastAsia" w:eastAsiaTheme="minorEastAsia"/>
                <w:color w:val="000000"/>
                <w:sz w:val="21"/>
                <w:szCs w:val="21"/>
              </w:rPr>
              <w:t>0</w:t>
            </w:r>
            <w:r>
              <w:rPr>
                <w:rFonts w:asciiTheme="minorEastAsia" w:hAnsiTheme="minorEastAsia" w:eastAsiaTheme="minorEastAsia"/>
                <w:color w:val="000000"/>
                <w:sz w:val="21"/>
                <w:szCs w:val="21"/>
              </w:rPr>
              <w:t>4</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汇总</w:t>
            </w:r>
            <w:r>
              <w:rPr>
                <w:rFonts w:hint="eastAsia" w:asciiTheme="minorEastAsia" w:hAnsiTheme="minorEastAsia" w:eastAsiaTheme="minorEastAsia"/>
                <w:color w:val="000000"/>
                <w:sz w:val="21"/>
                <w:szCs w:val="21"/>
              </w:rPr>
              <w:t>审议</w:t>
            </w:r>
            <w:r>
              <w:rPr>
                <w:rFonts w:hint="eastAsia" w:asciiTheme="minorEastAsia" w:hAnsiTheme="minorEastAsia" w:eastAsiaTheme="minorEastAsia"/>
                <w:color w:val="000000"/>
                <w:sz w:val="21"/>
                <w:szCs w:val="21"/>
                <w:lang w:val="en-US" w:eastAsia="zh-CN"/>
              </w:rPr>
              <w:t>意见并下发整改通知</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hint="default" w:asciiTheme="minorEastAsia" w:hAnsiTheme="minorEastAsia" w:eastAsiaTheme="minorEastAsia"/>
                <w:color w:val="000000"/>
                <w:sz w:val="21"/>
                <w:szCs w:val="21"/>
                <w:lang w:val="en-US"/>
              </w:rPr>
            </w:pPr>
            <w:r>
              <w:rPr>
                <w:rFonts w:hint="eastAsia" w:asciiTheme="minorEastAsia" w:hAnsiTheme="minorEastAsia" w:eastAsiaTheme="minorEastAsia"/>
                <w:color w:val="000000"/>
                <w:sz w:val="21"/>
                <w:szCs w:val="21"/>
                <w:lang w:val="en-US" w:eastAsia="zh-CN"/>
              </w:rPr>
              <w:t>审议年度制度检查报告，并下发整改通知书</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党委会、总经理、分管领导</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审议意见</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整改通知书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A1_</w:t>
            </w:r>
            <w:r>
              <w:rPr>
                <w:rFonts w:hint="eastAsia" w:asciiTheme="minorEastAsia" w:hAnsiTheme="minorEastAsia" w:eastAsiaTheme="minorEastAsia"/>
                <w:color w:val="000000"/>
                <w:sz w:val="21"/>
                <w:szCs w:val="21"/>
              </w:rPr>
              <w:t>0</w:t>
            </w:r>
            <w:r>
              <w:rPr>
                <w:rFonts w:asciiTheme="minorEastAsia" w:hAnsiTheme="minorEastAsia" w:eastAsiaTheme="minorEastAsia"/>
                <w:color w:val="000000"/>
                <w:sz w:val="21"/>
                <w:szCs w:val="21"/>
              </w:rPr>
              <w:t>5</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eastAsia" w:asciiTheme="minorEastAsia" w:hAnsiTheme="minorEastAsia" w:eastAsiaTheme="minorEastAsia"/>
                <w:color w:val="000000"/>
                <w:sz w:val="21"/>
                <w:szCs w:val="21"/>
                <w:lang w:eastAsia="zh-CN"/>
              </w:rPr>
            </w:pPr>
            <w:r>
              <w:rPr>
                <w:rFonts w:hint="eastAsia" w:asciiTheme="minorEastAsia" w:hAnsiTheme="minorEastAsia" w:eastAsiaTheme="minorEastAsia"/>
                <w:color w:val="000000"/>
                <w:sz w:val="21"/>
                <w:szCs w:val="21"/>
              </w:rPr>
              <w:t>整改</w:t>
            </w:r>
            <w:r>
              <w:rPr>
                <w:rFonts w:hint="eastAsia" w:asciiTheme="minorEastAsia" w:hAnsiTheme="minorEastAsia" w:eastAsiaTheme="minorEastAsia"/>
                <w:color w:val="000000"/>
                <w:sz w:val="21"/>
                <w:szCs w:val="21"/>
                <w:lang w:val="en-US" w:eastAsia="zh-CN"/>
              </w:rPr>
              <w:t>反馈</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整改通知下发后，相关部门进行整改</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相关部门</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整改通知书</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整改报告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12"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A1_</w:t>
            </w:r>
            <w:r>
              <w:rPr>
                <w:rFonts w:hint="eastAsia" w:asciiTheme="minorEastAsia" w:hAnsiTheme="minorEastAsia" w:eastAsiaTheme="minorEastAsia"/>
                <w:color w:val="000000"/>
                <w:sz w:val="21"/>
                <w:szCs w:val="21"/>
              </w:rPr>
              <w:t>0</w:t>
            </w:r>
            <w:r>
              <w:rPr>
                <w:rFonts w:asciiTheme="minorEastAsia" w:hAnsiTheme="minorEastAsia" w:eastAsiaTheme="minorEastAsia"/>
                <w:color w:val="000000"/>
                <w:sz w:val="21"/>
                <w:szCs w:val="21"/>
              </w:rPr>
              <w:t>6</w:t>
            </w:r>
          </w:p>
        </w:tc>
        <w:tc>
          <w:tcPr>
            <w:tcW w:w="723" w:type="pct"/>
            <w:tcBorders>
              <w:top w:val="single" w:color="auto" w:sz="6" w:space="0"/>
              <w:left w:val="single" w:color="auto" w:sz="6" w:space="0"/>
              <w:bottom w:val="single" w:color="auto" w:sz="12" w:space="0"/>
              <w:right w:val="single" w:color="auto" w:sz="8"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整改跟踪</w:t>
            </w:r>
          </w:p>
        </w:tc>
        <w:tc>
          <w:tcPr>
            <w:tcW w:w="1008" w:type="pct"/>
            <w:tcBorders>
              <w:top w:val="single" w:color="auto" w:sz="6" w:space="0"/>
              <w:left w:val="single" w:color="auto" w:sz="8" w:space="0"/>
              <w:bottom w:val="single" w:color="auto" w:sz="12" w:space="0"/>
              <w:right w:val="single" w:color="auto" w:sz="6"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rPr>
              <w:t>核查相关部门</w:t>
            </w:r>
            <w:r>
              <w:rPr>
                <w:rFonts w:hint="eastAsia" w:asciiTheme="minorEastAsia" w:hAnsiTheme="minorEastAsia" w:eastAsiaTheme="minorEastAsia"/>
                <w:color w:val="000000"/>
                <w:sz w:val="21"/>
                <w:szCs w:val="21"/>
                <w:lang w:val="en-US" w:eastAsia="zh-CN"/>
              </w:rPr>
              <w:t>问题</w:t>
            </w:r>
            <w:r>
              <w:rPr>
                <w:rFonts w:hint="eastAsia" w:asciiTheme="minorEastAsia" w:hAnsiTheme="minorEastAsia" w:eastAsiaTheme="minorEastAsia"/>
                <w:color w:val="000000"/>
                <w:sz w:val="21"/>
                <w:szCs w:val="21"/>
              </w:rPr>
              <w:t>整改情况，汇总整改报告</w:t>
            </w:r>
            <w:r>
              <w:rPr>
                <w:rFonts w:hint="eastAsia" w:asciiTheme="minorEastAsia" w:hAnsiTheme="minorEastAsia" w:eastAsiaTheme="minorEastAsia"/>
                <w:color w:val="000000"/>
                <w:sz w:val="21"/>
                <w:szCs w:val="21"/>
                <w:lang w:eastAsia="zh-CN"/>
              </w:rPr>
              <w:t>，</w:t>
            </w:r>
            <w:r>
              <w:rPr>
                <w:rFonts w:hint="eastAsia" w:asciiTheme="minorEastAsia" w:hAnsiTheme="minorEastAsia" w:eastAsiaTheme="minorEastAsia"/>
                <w:color w:val="000000"/>
                <w:sz w:val="21"/>
                <w:szCs w:val="21"/>
                <w:lang w:val="en-US" w:eastAsia="zh-CN"/>
              </w:rPr>
              <w:t>至全部问题销号</w:t>
            </w:r>
          </w:p>
        </w:tc>
        <w:tc>
          <w:tcPr>
            <w:tcW w:w="949" w:type="pct"/>
            <w:tcBorders>
              <w:top w:val="single" w:color="auto" w:sz="6" w:space="0"/>
              <w:left w:val="single" w:color="auto" w:sz="8" w:space="0"/>
              <w:bottom w:val="single" w:color="auto" w:sz="12" w:space="0"/>
              <w:right w:val="single" w:color="auto" w:sz="6"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审计法务部</w:t>
            </w:r>
          </w:p>
        </w:tc>
        <w:tc>
          <w:tcPr>
            <w:tcW w:w="405" w:type="pct"/>
            <w:tcBorders>
              <w:top w:val="single" w:color="auto" w:sz="6" w:space="0"/>
              <w:left w:val="single" w:color="auto" w:sz="6" w:space="0"/>
              <w:bottom w:val="single" w:color="auto" w:sz="12"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w:t>
            </w:r>
          </w:p>
        </w:tc>
        <w:tc>
          <w:tcPr>
            <w:tcW w:w="601" w:type="pct"/>
            <w:tcBorders>
              <w:top w:val="single" w:color="auto" w:sz="6" w:space="0"/>
              <w:left w:val="single" w:color="auto" w:sz="6" w:space="0"/>
              <w:bottom w:val="single" w:color="auto" w:sz="12" w:space="0"/>
              <w:right w:val="single" w:color="auto" w:sz="8" w:space="0"/>
            </w:tcBorders>
            <w:vAlign w:val="center"/>
          </w:tcPr>
          <w:p>
            <w:pPr>
              <w:pStyle w:val="93"/>
              <w:spacing w:line="360" w:lineRule="auto"/>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整改通知书</w:t>
            </w:r>
          </w:p>
        </w:tc>
        <w:tc>
          <w:tcPr>
            <w:tcW w:w="678" w:type="pct"/>
            <w:tcBorders>
              <w:top w:val="single" w:color="auto" w:sz="6" w:space="0"/>
              <w:left w:val="single" w:color="auto" w:sz="8" w:space="0"/>
              <w:bottom w:val="single" w:color="auto" w:sz="12" w:space="0"/>
              <w:right w:val="single" w:color="auto" w:sz="12" w:space="0"/>
            </w:tcBorders>
            <w:vAlign w:val="center"/>
          </w:tcPr>
          <w:p>
            <w:pPr>
              <w:pStyle w:val="93"/>
              <w:spacing w:line="360" w:lineRule="auto"/>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整改报告</w:t>
            </w:r>
          </w:p>
        </w:tc>
      </w:tr>
    </w:tbl>
    <w:p>
      <w:pPr>
        <w:pStyle w:val="5"/>
        <w:rPr>
          <w:rFonts w:hint="eastAsia"/>
          <w:lang w:val="en-US" w:eastAsia="zh-CN"/>
        </w:rPr>
      </w:pPr>
    </w:p>
    <w:p>
      <w:pPr>
        <w:pStyle w:val="9"/>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用户业务需求</w:t>
      </w:r>
    </w:p>
    <w:tbl>
      <w:tblPr>
        <w:tblStyle w:val="33"/>
        <w:tblW w:w="893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72" w:type="dxa"/>
          <w:bottom w:w="0" w:type="dxa"/>
          <w:right w:w="72" w:type="dxa"/>
        </w:tblCellMar>
      </w:tblPr>
      <w:tblGrid>
        <w:gridCol w:w="1293"/>
        <w:gridCol w:w="763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1293" w:type="dxa"/>
            <w:tcBorders>
              <w:top w:val="single" w:color="auto" w:sz="4" w:space="0"/>
              <w:left w:val="single" w:color="auto" w:sz="4" w:space="0"/>
              <w:bottom w:val="single" w:color="auto" w:sz="4" w:space="0"/>
              <w:right w:val="single" w:color="auto" w:sz="4" w:space="0"/>
            </w:tcBorders>
            <w:shd w:val="clear" w:color="auto" w:fill="EAEAEA"/>
          </w:tcPr>
          <w:p>
            <w:pPr>
              <w:pStyle w:val="94"/>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需求编号</w:t>
            </w:r>
          </w:p>
        </w:tc>
        <w:tc>
          <w:tcPr>
            <w:tcW w:w="7639" w:type="dxa"/>
            <w:tcBorders>
              <w:top w:val="single" w:color="auto" w:sz="4" w:space="0"/>
              <w:left w:val="single" w:color="auto" w:sz="4" w:space="0"/>
              <w:bottom w:val="single" w:color="auto" w:sz="4" w:space="0"/>
              <w:right w:val="single" w:color="auto" w:sz="4" w:space="0"/>
            </w:tcBorders>
            <w:shd w:val="clear" w:color="auto" w:fill="EAEAEA"/>
          </w:tcPr>
          <w:p>
            <w:pPr>
              <w:pStyle w:val="94"/>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需求详细描述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60" w:hRule="exact"/>
        </w:trPr>
        <w:tc>
          <w:tcPr>
            <w:tcW w:w="1293" w:type="dxa"/>
            <w:tcBorders>
              <w:top w:val="single" w:color="auto" w:sz="4" w:space="0"/>
              <w:left w:val="nil"/>
              <w:bottom w:val="single" w:color="auto" w:sz="6" w:space="0"/>
              <w:right w:val="nil"/>
            </w:tcBorders>
            <w:shd w:val="pct50" w:color="auto" w:fill="auto"/>
          </w:tcPr>
          <w:p>
            <w:pPr>
              <w:pStyle w:val="93"/>
              <w:spacing w:line="360" w:lineRule="auto"/>
              <w:rPr>
                <w:rFonts w:asciiTheme="minorEastAsia" w:hAnsiTheme="minorEastAsia" w:eastAsiaTheme="minorEastAsia"/>
                <w:color w:val="000000"/>
                <w:sz w:val="21"/>
                <w:szCs w:val="21"/>
              </w:rPr>
            </w:pPr>
          </w:p>
        </w:tc>
        <w:tc>
          <w:tcPr>
            <w:tcW w:w="7639" w:type="dxa"/>
            <w:tcBorders>
              <w:top w:val="single" w:color="auto" w:sz="4" w:space="0"/>
              <w:left w:val="nil"/>
              <w:bottom w:val="single" w:color="auto" w:sz="6" w:space="0"/>
              <w:right w:val="nil"/>
            </w:tcBorders>
            <w:shd w:val="pct50" w:color="auto" w:fill="auto"/>
          </w:tcPr>
          <w:p>
            <w:pPr>
              <w:pStyle w:val="93"/>
              <w:spacing w:line="360" w:lineRule="auto"/>
              <w:rPr>
                <w:rFonts w:asciiTheme="minorEastAsia" w:hAnsiTheme="minorEastAsia" w:eastAsiaTheme="minorEastAsia"/>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293" w:type="dxa"/>
            <w:tcBorders>
              <w:top w:val="nil"/>
              <w:left w:val="single" w:color="auto" w:sz="12" w:space="0"/>
              <w:bottom w:val="single" w:color="auto" w:sz="6" w:space="0"/>
              <w:right w:val="single" w:color="auto" w:sz="6" w:space="0"/>
            </w:tcBorders>
            <w:vAlign w:val="center"/>
          </w:tcPr>
          <w:p>
            <w:pPr>
              <w:pStyle w:val="93"/>
              <w:spacing w:line="360" w:lineRule="auto"/>
              <w:jc w:val="center"/>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1</w:t>
            </w:r>
          </w:p>
        </w:tc>
        <w:tc>
          <w:tcPr>
            <w:tcW w:w="7639" w:type="dxa"/>
            <w:tcBorders>
              <w:top w:val="nil"/>
              <w:left w:val="single" w:color="auto" w:sz="6" w:space="0"/>
              <w:bottom w:val="single" w:color="auto" w:sz="6" w:space="0"/>
              <w:right w:val="single" w:color="auto" w:sz="12" w:space="0"/>
            </w:tcBorders>
          </w:tcPr>
          <w:p>
            <w:pPr>
              <w:pStyle w:val="93"/>
              <w:spacing w:line="360" w:lineRule="auto"/>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管理层：能够了解和监控组织内部各个部门的制度执行情况，及时发现和解决问题；能够查看和分析审计结果，包括制度执行的合规性、效果和整改进展情况；能够提供制度执行的数据和报告，支持管理层决策和内部沟通；能够跟踪和指导部门的整改工作，确保问题得到及时解决和改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293" w:type="dxa"/>
            <w:tcBorders>
              <w:top w:val="nil"/>
              <w:left w:val="single" w:color="auto" w:sz="12" w:space="0"/>
              <w:bottom w:val="single" w:color="auto" w:sz="6" w:space="0"/>
              <w:right w:val="single" w:color="auto" w:sz="6" w:space="0"/>
            </w:tcBorders>
            <w:vAlign w:val="center"/>
          </w:tcPr>
          <w:p>
            <w:pPr>
              <w:pStyle w:val="93"/>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2</w:t>
            </w:r>
          </w:p>
        </w:tc>
        <w:tc>
          <w:tcPr>
            <w:tcW w:w="7639" w:type="dxa"/>
            <w:tcBorders>
              <w:top w:val="nil"/>
              <w:left w:val="single" w:color="auto" w:sz="6" w:space="0"/>
              <w:bottom w:val="single" w:color="auto" w:sz="6" w:space="0"/>
              <w:right w:val="single" w:color="auto" w:sz="12" w:space="0"/>
            </w:tcBorders>
          </w:tcPr>
          <w:p>
            <w:pPr>
              <w:pStyle w:val="93"/>
              <w:spacing w:line="360" w:lineRule="auto"/>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内控风控人员：能够查看和评估组织内部制度的执行情况，包括制度的合规性、执行效果和存在的问题。能够制定审计计划和执行审计任务，包括选择审计对象、确定审计方法和时间安排。能够记录和整理审计发现的问题和异常情况，并提供具体的证据和分析。能够生成审计报告，包括对制度执行情况的总结、存在的问题和建议改进措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293" w:type="dxa"/>
            <w:tcBorders>
              <w:top w:val="nil"/>
              <w:left w:val="single" w:color="auto" w:sz="12" w:space="0"/>
              <w:bottom w:val="single" w:color="auto" w:sz="6" w:space="0"/>
              <w:right w:val="single" w:color="auto" w:sz="6" w:space="0"/>
            </w:tcBorders>
            <w:vAlign w:val="center"/>
          </w:tcPr>
          <w:p>
            <w:pPr>
              <w:pStyle w:val="93"/>
              <w:spacing w:line="360" w:lineRule="auto"/>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3</w:t>
            </w:r>
          </w:p>
        </w:tc>
        <w:tc>
          <w:tcPr>
            <w:tcW w:w="7639" w:type="dxa"/>
            <w:tcBorders>
              <w:top w:val="nil"/>
              <w:left w:val="single" w:color="auto" w:sz="6" w:space="0"/>
              <w:bottom w:val="single" w:color="auto" w:sz="6" w:space="0"/>
              <w:right w:val="single" w:color="auto" w:sz="12" w:space="0"/>
            </w:tcBorders>
          </w:tcPr>
          <w:p>
            <w:pPr>
              <w:pStyle w:val="93"/>
              <w:spacing w:line="360" w:lineRule="auto"/>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相关部门：能够了解和管理本部门的制度执行情况。能够查看和分析制度执行的问题和异常情况，并提供相应的解决方案。能够监督和推动部门的整改工作，确保问题得到妥善解决和改善。能够向上级报告制度执行情况和整改进展。</w:t>
            </w:r>
          </w:p>
        </w:tc>
      </w:tr>
    </w:tbl>
    <w:p>
      <w:pPr>
        <w:pStyle w:val="5"/>
        <w:rPr>
          <w:rFonts w:hint="eastAsia"/>
          <w:lang w:val="en-US" w:eastAsia="zh-CN"/>
        </w:rPr>
      </w:pPr>
    </w:p>
    <w:p>
      <w:pPr>
        <w:pStyle w:val="7"/>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内控风险管理</w:t>
      </w:r>
      <w:bookmarkEnd w:id="26"/>
    </w:p>
    <w:p>
      <w:pPr>
        <w:pStyle w:val="8"/>
      </w:pPr>
      <w:bookmarkStart w:id="27" w:name="_Toc26868"/>
      <w:r>
        <w:rPr>
          <w:rFonts w:hint="eastAsia"/>
          <w:lang w:val="en-US" w:eastAsia="zh-CN"/>
        </w:rPr>
        <w:t>业务状况</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0"/>
        <w:jc w:val="left"/>
        <w:textAlignment w:val="auto"/>
        <w:rPr>
          <w:rFonts w:hint="eastAsia"/>
          <w:sz w:val="24"/>
          <w:szCs w:val="24"/>
        </w:rPr>
      </w:pPr>
      <w:r>
        <w:rPr>
          <w:rFonts w:hint="eastAsia" w:ascii="宋体" w:hAnsi="宋体" w:eastAsia="宋体" w:cs="宋体"/>
          <w:kern w:val="2"/>
          <w:sz w:val="24"/>
          <w:szCs w:val="24"/>
          <w:lang w:val="en-US" w:eastAsia="zh-CN" w:bidi="ar-SA"/>
        </w:rPr>
        <w:t>加强内控信息化建设力度，</w:t>
      </w:r>
      <w:r>
        <w:rPr>
          <w:rFonts w:hint="default" w:ascii="宋体" w:hAnsi="宋体" w:eastAsia="宋体" w:cs="宋体"/>
          <w:kern w:val="2"/>
          <w:sz w:val="24"/>
          <w:szCs w:val="24"/>
          <w:lang w:val="en-US" w:eastAsia="zh-CN" w:bidi="ar-SA"/>
        </w:rPr>
        <w:t>推动企业三重一大、投资和项目管理、财务和资产、产权管理、物资采购、全面风险管理、人力资源等集团管控信息系统的集成应用，逐步实现内控体系与业务信息系统互联互通、有机融合</w:t>
      </w:r>
      <w:r>
        <w:rPr>
          <w:rFonts w:hint="eastAsia"/>
          <w:sz w:val="24"/>
          <w:szCs w:val="24"/>
        </w:rPr>
        <w:t>。</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0"/>
        <w:jc w:val="left"/>
        <w:textAlignment w:val="auto"/>
        <w:rPr>
          <w:rFonts w:hint="default"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加强经济运行动态、大宗商品价格以及资本市场指标变化监测，提高对经营环境变化、发展趋势的预判能力，有针对性地制定风险应对方案，并根据原有风险的变化情况及应对方案的执行效果，有效做好企业间风险隔离，防止风险由“点”扩“面”，避免发生重大经营风险。</w:t>
      </w: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业务基本需求</w:t>
      </w:r>
    </w:p>
    <w:p>
      <w:pPr>
        <w:pStyle w:val="17"/>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1.实现</w:t>
      </w:r>
      <w:r>
        <w:rPr>
          <w:rFonts w:hint="eastAsia" w:ascii="宋体" w:hAnsi="宋体" w:cs="宋体"/>
          <w:sz w:val="24"/>
          <w:szCs w:val="24"/>
          <w:lang w:val="en-US" w:eastAsia="zh-CN"/>
        </w:rPr>
        <w:t>风险识别和预警</w:t>
      </w:r>
      <w:r>
        <w:rPr>
          <w:rFonts w:hint="eastAsia" w:ascii="宋体" w:hAnsi="宋体" w:eastAsia="宋体" w:cs="宋体"/>
          <w:sz w:val="24"/>
          <w:szCs w:val="24"/>
        </w:rPr>
        <w:t>，风险识别：识别企业面临的各种风险，包括战略风险、操作风险、合规风险等。风险评估：对风险进行评估和分级，确定风险的影响程度和可能性。风险</w:t>
      </w:r>
      <w:r>
        <w:rPr>
          <w:rFonts w:hint="eastAsia" w:ascii="宋体" w:hAnsi="宋体" w:cs="宋体"/>
          <w:sz w:val="24"/>
          <w:szCs w:val="24"/>
          <w:lang w:val="en-US" w:eastAsia="zh-CN"/>
        </w:rPr>
        <w:t>预警</w:t>
      </w:r>
      <w:r>
        <w:rPr>
          <w:rFonts w:hint="eastAsia" w:ascii="宋体" w:hAnsi="宋体" w:eastAsia="宋体" w:cs="宋体"/>
          <w:sz w:val="24"/>
          <w:szCs w:val="24"/>
        </w:rPr>
        <w:t>：制定相应的</w:t>
      </w:r>
      <w:r>
        <w:rPr>
          <w:rFonts w:hint="eastAsia" w:ascii="宋体" w:hAnsi="宋体" w:cs="宋体"/>
          <w:sz w:val="24"/>
          <w:szCs w:val="24"/>
          <w:lang w:val="en-US" w:eastAsia="zh-CN"/>
        </w:rPr>
        <w:t>风险预警</w:t>
      </w:r>
      <w:r>
        <w:rPr>
          <w:rFonts w:hint="eastAsia" w:ascii="宋体" w:hAnsi="宋体" w:eastAsia="宋体" w:cs="宋体"/>
          <w:sz w:val="24"/>
          <w:szCs w:val="24"/>
        </w:rPr>
        <w:t>策略和</w:t>
      </w:r>
      <w:r>
        <w:rPr>
          <w:rFonts w:hint="eastAsia" w:ascii="宋体" w:hAnsi="宋体" w:cs="宋体"/>
          <w:sz w:val="24"/>
          <w:szCs w:val="24"/>
          <w:lang w:val="en-US" w:eastAsia="zh-CN"/>
        </w:rPr>
        <w:t>风险预防</w:t>
      </w:r>
      <w:r>
        <w:rPr>
          <w:rFonts w:hint="eastAsia" w:ascii="宋体" w:hAnsi="宋体" w:eastAsia="宋体" w:cs="宋体"/>
          <w:sz w:val="24"/>
          <w:szCs w:val="24"/>
        </w:rPr>
        <w:t>措施，减少风险的发生和影响</w:t>
      </w:r>
      <w:r>
        <w:rPr>
          <w:rFonts w:hint="eastAsia" w:ascii="宋体" w:hAnsi="宋体" w:cs="宋体"/>
          <w:sz w:val="24"/>
          <w:szCs w:val="24"/>
          <w:lang w:eastAsia="zh-CN"/>
        </w:rPr>
        <w:t>，</w:t>
      </w:r>
      <w:r>
        <w:rPr>
          <w:rFonts w:hint="eastAsia" w:ascii="宋体" w:hAnsi="宋体" w:eastAsia="宋体" w:cs="宋体"/>
          <w:sz w:val="24"/>
          <w:szCs w:val="24"/>
        </w:rPr>
        <w:t>建立风险监控机制，</w:t>
      </w:r>
      <w:r>
        <w:rPr>
          <w:rFonts w:hint="eastAsia" w:ascii="宋体" w:hAnsi="宋体" w:cs="宋体"/>
          <w:sz w:val="24"/>
          <w:szCs w:val="24"/>
          <w:lang w:val="en-US" w:eastAsia="zh-CN"/>
        </w:rPr>
        <w:t>能自动实现风险预警</w:t>
      </w:r>
      <w:r>
        <w:rPr>
          <w:rFonts w:hint="eastAsia" w:ascii="宋体" w:hAnsi="宋体" w:eastAsia="宋体" w:cs="宋体"/>
          <w:sz w:val="24"/>
          <w:szCs w:val="24"/>
        </w:rPr>
        <w:t>。</w:t>
      </w: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详细需求说明</w:t>
      </w:r>
    </w:p>
    <w:p>
      <w:pPr>
        <w:pStyle w:val="9"/>
      </w:pPr>
      <w:r>
        <w:rPr>
          <w:rFonts w:hint="eastAsia"/>
          <w:lang w:val="en-US" w:eastAsia="zh-CN"/>
        </w:rPr>
        <w:t>业务场景</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5652"/>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shd w:val="clear" w:color="auto" w:fill="D7D7D7" w:themeFill="background1" w:themeFillShade="D8"/>
            <w:vAlign w:val="center"/>
          </w:tcPr>
          <w:p>
            <w:pPr>
              <w:pStyle w:val="5"/>
              <w:ind w:left="0" w:leftChars="0" w:firstLine="0" w:firstLineChars="0"/>
              <w:jc w:val="center"/>
              <w:rPr>
                <w:rFonts w:hint="eastAsia" w:eastAsia="宋体"/>
                <w:b/>
                <w:bCs/>
                <w:sz w:val="21"/>
                <w:szCs w:val="21"/>
                <w:vertAlign w:val="baseline"/>
                <w:lang w:val="en-US" w:eastAsia="zh-CN"/>
              </w:rPr>
            </w:pPr>
            <w:r>
              <w:rPr>
                <w:rFonts w:hint="eastAsia"/>
                <w:b/>
                <w:bCs/>
                <w:sz w:val="21"/>
                <w:szCs w:val="21"/>
                <w:vertAlign w:val="baseline"/>
                <w:lang w:val="en-US" w:eastAsia="zh-CN"/>
              </w:rPr>
              <w:t>阶段</w:t>
            </w:r>
          </w:p>
        </w:tc>
        <w:tc>
          <w:tcPr>
            <w:tcW w:w="5652" w:type="dxa"/>
            <w:shd w:val="clear" w:color="auto" w:fill="D7D7D7" w:themeFill="background1" w:themeFillShade="D8"/>
            <w:vAlign w:val="center"/>
          </w:tcPr>
          <w:p>
            <w:pPr>
              <w:pStyle w:val="5"/>
              <w:ind w:left="0" w:leftChars="0" w:firstLine="0" w:firstLineChars="0"/>
              <w:rPr>
                <w:rFonts w:hint="eastAsia" w:eastAsia="宋体"/>
                <w:b/>
                <w:bCs/>
                <w:sz w:val="21"/>
                <w:szCs w:val="21"/>
                <w:vertAlign w:val="baseline"/>
                <w:lang w:val="en-US" w:eastAsia="zh-CN"/>
              </w:rPr>
            </w:pPr>
            <w:r>
              <w:rPr>
                <w:rFonts w:hint="eastAsia"/>
                <w:b/>
                <w:bCs/>
                <w:sz w:val="21"/>
                <w:szCs w:val="21"/>
                <w:vertAlign w:val="baseline"/>
                <w:lang w:val="en-US" w:eastAsia="zh-CN"/>
              </w:rPr>
              <w:t>场景</w:t>
            </w:r>
          </w:p>
        </w:tc>
        <w:tc>
          <w:tcPr>
            <w:tcW w:w="1820" w:type="dxa"/>
            <w:shd w:val="clear" w:color="auto" w:fill="D7D7D7" w:themeFill="background1" w:themeFillShade="D8"/>
            <w:vAlign w:val="center"/>
          </w:tcPr>
          <w:p>
            <w:pPr>
              <w:pStyle w:val="5"/>
              <w:ind w:left="0" w:leftChars="0" w:firstLine="0" w:firstLineChars="0"/>
              <w:rPr>
                <w:rFonts w:hint="default" w:eastAsia="宋体"/>
                <w:b/>
                <w:bCs/>
                <w:sz w:val="21"/>
                <w:szCs w:val="21"/>
                <w:vertAlign w:val="baseline"/>
                <w:lang w:val="en-US" w:eastAsia="zh-CN"/>
              </w:rPr>
            </w:pPr>
            <w:r>
              <w:rPr>
                <w:rFonts w:hint="eastAsia"/>
                <w:b/>
                <w:bCs/>
                <w:sz w:val="21"/>
                <w:szCs w:val="21"/>
                <w:vertAlign w:val="baseline"/>
                <w:lang w:val="en-US" w:eastAsia="zh-CN"/>
              </w:rPr>
              <w:t>部门/用户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jc w:val="center"/>
              <w:rPr>
                <w:rFonts w:hint="default" w:eastAsia="宋体"/>
                <w:sz w:val="21"/>
                <w:szCs w:val="21"/>
                <w:vertAlign w:val="baseline"/>
                <w:lang w:val="en-US" w:eastAsia="zh-CN"/>
              </w:rPr>
            </w:pPr>
            <w:r>
              <w:rPr>
                <w:rFonts w:hint="eastAsia"/>
                <w:sz w:val="21"/>
                <w:szCs w:val="21"/>
                <w:vertAlign w:val="baseline"/>
                <w:lang w:val="en-US" w:eastAsia="zh-CN"/>
              </w:rPr>
              <w:t>风险识别</w:t>
            </w:r>
          </w:p>
        </w:tc>
        <w:tc>
          <w:tcPr>
            <w:tcW w:w="5652" w:type="dxa"/>
            <w:vAlign w:val="center"/>
          </w:tcPr>
          <w:p>
            <w:pPr>
              <w:pStyle w:val="17"/>
              <w:spacing w:line="360" w:lineRule="auto"/>
              <w:rPr>
                <w:rFonts w:hint="eastAsia" w:eastAsia="宋体"/>
                <w:sz w:val="21"/>
                <w:szCs w:val="21"/>
                <w:vertAlign w:val="baseline"/>
                <w:lang w:val="en-US" w:eastAsia="zh-CN"/>
              </w:rPr>
            </w:pPr>
            <w:r>
              <w:rPr>
                <w:rFonts w:hint="eastAsia"/>
                <w:sz w:val="21"/>
                <w:szCs w:val="21"/>
              </w:rPr>
              <w:t>识别潜在的法律风险，包括合同纠纷、知识产权侵权、劳动法违规等，并通过评估这些风险的概率和影响，制定相应的风险管理策略</w:t>
            </w:r>
            <w:r>
              <w:rPr>
                <w:rFonts w:hint="eastAsia"/>
                <w:sz w:val="21"/>
                <w:szCs w:val="21"/>
                <w:lang w:eastAsia="zh-CN"/>
              </w:rPr>
              <w:t>。</w:t>
            </w:r>
          </w:p>
        </w:tc>
        <w:tc>
          <w:tcPr>
            <w:tcW w:w="1820"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审计法务部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jc w:val="center"/>
              <w:rPr>
                <w:rFonts w:hint="default" w:eastAsia="宋体"/>
                <w:sz w:val="21"/>
                <w:szCs w:val="21"/>
                <w:vertAlign w:val="baseline"/>
                <w:lang w:val="en-US" w:eastAsia="zh-CN"/>
              </w:rPr>
            </w:pPr>
            <w:r>
              <w:rPr>
                <w:rFonts w:hint="eastAsia"/>
                <w:sz w:val="21"/>
                <w:szCs w:val="21"/>
                <w:vertAlign w:val="baseline"/>
                <w:lang w:val="en-US" w:eastAsia="zh-CN"/>
              </w:rPr>
              <w:t>风险预警</w:t>
            </w:r>
          </w:p>
        </w:tc>
        <w:tc>
          <w:tcPr>
            <w:tcW w:w="5652" w:type="dxa"/>
            <w:vAlign w:val="center"/>
          </w:tcPr>
          <w:p>
            <w:pPr>
              <w:pStyle w:val="17"/>
              <w:spacing w:line="360" w:lineRule="auto"/>
              <w:rPr>
                <w:rFonts w:hint="default" w:eastAsia="宋体"/>
                <w:sz w:val="21"/>
                <w:szCs w:val="21"/>
                <w:vertAlign w:val="baseline"/>
                <w:lang w:val="en-US" w:eastAsia="zh-CN"/>
              </w:rPr>
            </w:pPr>
            <w:r>
              <w:rPr>
                <w:rFonts w:hint="eastAsia"/>
                <w:sz w:val="21"/>
                <w:szCs w:val="21"/>
              </w:rPr>
              <w:t>通过收集相关的资料信息，监控风险因素的变动趋势，向决策层发出预警信号并提前采取预控对策</w:t>
            </w:r>
            <w:r>
              <w:rPr>
                <w:rFonts w:hint="eastAsia"/>
                <w:sz w:val="21"/>
                <w:szCs w:val="21"/>
                <w:lang w:val="en-US" w:eastAsia="zh-CN"/>
              </w:rPr>
              <w:t>措施</w:t>
            </w:r>
          </w:p>
        </w:tc>
        <w:tc>
          <w:tcPr>
            <w:tcW w:w="1820"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审计法务部</w:t>
            </w:r>
          </w:p>
        </w:tc>
      </w:tr>
    </w:tbl>
    <w:p>
      <w:pPr>
        <w:pStyle w:val="5"/>
      </w:pPr>
    </w:p>
    <w:p>
      <w:pPr>
        <w:pStyle w:val="9"/>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流程图</w:t>
      </w:r>
    </w:p>
    <w:p>
      <w:pPr>
        <w:pStyle w:val="5"/>
        <w:rPr>
          <w:rFonts w:hint="default"/>
          <w:lang w:val="en-US" w:eastAsia="zh-CN"/>
        </w:rPr>
      </w:pPr>
      <w:r>
        <w:rPr>
          <w:rFonts w:hint="eastAsia"/>
          <w:lang w:val="en-US" w:eastAsia="zh-CN"/>
        </w:rPr>
        <w:t>无业务流程图。</w:t>
      </w:r>
    </w:p>
    <w:p>
      <w:pPr>
        <w:pStyle w:val="9"/>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用户业务需求</w:t>
      </w:r>
    </w:p>
    <w:tbl>
      <w:tblPr>
        <w:tblStyle w:val="33"/>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72" w:type="dxa"/>
          <w:bottom w:w="0" w:type="dxa"/>
          <w:right w:w="72" w:type="dxa"/>
        </w:tblCellMar>
      </w:tblPr>
      <w:tblGrid>
        <w:gridCol w:w="1293"/>
        <w:gridCol w:w="763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1293" w:type="dxa"/>
            <w:tcBorders>
              <w:top w:val="single" w:color="auto" w:sz="4" w:space="0"/>
              <w:left w:val="single" w:color="auto" w:sz="4" w:space="0"/>
              <w:bottom w:val="single" w:color="auto" w:sz="4" w:space="0"/>
              <w:right w:val="single" w:color="auto" w:sz="4" w:space="0"/>
            </w:tcBorders>
            <w:shd w:val="clear" w:color="auto" w:fill="EAEAEA"/>
          </w:tcPr>
          <w:p>
            <w:pPr>
              <w:pStyle w:val="94"/>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需求编号</w:t>
            </w:r>
          </w:p>
        </w:tc>
        <w:tc>
          <w:tcPr>
            <w:tcW w:w="7639" w:type="dxa"/>
            <w:tcBorders>
              <w:top w:val="single" w:color="auto" w:sz="4" w:space="0"/>
              <w:left w:val="single" w:color="auto" w:sz="4" w:space="0"/>
              <w:bottom w:val="single" w:color="auto" w:sz="4" w:space="0"/>
              <w:right w:val="single" w:color="auto" w:sz="4" w:space="0"/>
            </w:tcBorders>
            <w:shd w:val="clear" w:color="auto" w:fill="EAEAEA"/>
          </w:tcPr>
          <w:p>
            <w:pPr>
              <w:pStyle w:val="94"/>
              <w:spacing w:line="360" w:lineRule="auto"/>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需求详细描述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60" w:hRule="exact"/>
        </w:trPr>
        <w:tc>
          <w:tcPr>
            <w:tcW w:w="1293" w:type="dxa"/>
            <w:tcBorders>
              <w:top w:val="single" w:color="auto" w:sz="4" w:space="0"/>
              <w:left w:val="nil"/>
              <w:bottom w:val="single" w:color="auto" w:sz="6" w:space="0"/>
              <w:right w:val="nil"/>
            </w:tcBorders>
            <w:shd w:val="pct50" w:color="auto" w:fill="auto"/>
          </w:tcPr>
          <w:p>
            <w:pPr>
              <w:pStyle w:val="93"/>
              <w:spacing w:line="360" w:lineRule="auto"/>
              <w:rPr>
                <w:rFonts w:asciiTheme="minorEastAsia" w:hAnsiTheme="minorEastAsia" w:eastAsiaTheme="minorEastAsia"/>
                <w:color w:val="000000"/>
                <w:sz w:val="24"/>
                <w:szCs w:val="24"/>
              </w:rPr>
            </w:pPr>
          </w:p>
        </w:tc>
        <w:tc>
          <w:tcPr>
            <w:tcW w:w="7639" w:type="dxa"/>
            <w:tcBorders>
              <w:top w:val="single" w:color="auto" w:sz="4" w:space="0"/>
              <w:left w:val="nil"/>
              <w:bottom w:val="single" w:color="auto" w:sz="6" w:space="0"/>
              <w:right w:val="nil"/>
            </w:tcBorders>
            <w:shd w:val="pct50" w:color="auto" w:fill="auto"/>
          </w:tcPr>
          <w:p>
            <w:pPr>
              <w:pStyle w:val="93"/>
              <w:spacing w:line="360" w:lineRule="auto"/>
              <w:rPr>
                <w:rFonts w:asciiTheme="minorEastAsia" w:hAnsiTheme="minorEastAsia" w:eastAsiaTheme="minorEastAsia"/>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293" w:type="dxa"/>
            <w:tcBorders>
              <w:top w:val="nil"/>
              <w:left w:val="single" w:color="auto" w:sz="12" w:space="0"/>
              <w:bottom w:val="single" w:color="auto" w:sz="6" w:space="0"/>
              <w:right w:val="single" w:color="auto" w:sz="6" w:space="0"/>
            </w:tcBorders>
            <w:vAlign w:val="center"/>
          </w:tcPr>
          <w:p>
            <w:pPr>
              <w:pStyle w:val="93"/>
              <w:spacing w:line="360" w:lineRule="auto"/>
              <w:jc w:val="center"/>
              <w:rPr>
                <w:rFonts w:hint="eastAsia"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val="en-US" w:eastAsia="zh-CN"/>
              </w:rPr>
              <w:t>1</w:t>
            </w:r>
          </w:p>
        </w:tc>
        <w:tc>
          <w:tcPr>
            <w:tcW w:w="7639" w:type="dxa"/>
            <w:tcBorders>
              <w:top w:val="nil"/>
              <w:left w:val="single" w:color="auto" w:sz="6" w:space="0"/>
              <w:bottom w:val="single" w:color="auto" w:sz="6" w:space="0"/>
              <w:right w:val="single" w:color="auto" w:sz="12" w:space="0"/>
            </w:tcBorders>
          </w:tcPr>
          <w:p>
            <w:pPr>
              <w:pStyle w:val="93"/>
              <w:spacing w:line="360" w:lineRule="auto"/>
              <w:rPr>
                <w:rFonts w:asciiTheme="minorEastAsia" w:hAnsiTheme="minorEastAsia" w:eastAsiaTheme="minorEastAsia"/>
                <w:color w:val="000000"/>
                <w:sz w:val="24"/>
                <w:szCs w:val="24"/>
              </w:rPr>
            </w:pPr>
            <w:r>
              <w:rPr>
                <w:rFonts w:hint="eastAsia" w:asciiTheme="minorEastAsia" w:hAnsiTheme="minorEastAsia" w:eastAsiaTheme="minorEastAsia"/>
                <w:color w:val="000000"/>
                <w:sz w:val="24"/>
                <w:szCs w:val="24"/>
                <w:lang w:val="en-US" w:eastAsia="zh-CN"/>
              </w:rPr>
              <w:t>支持</w:t>
            </w:r>
            <w:r>
              <w:rPr>
                <w:rFonts w:hint="eastAsia" w:asciiTheme="minorEastAsia" w:hAnsiTheme="minorEastAsia" w:eastAsiaTheme="minorEastAsia"/>
                <w:color w:val="000000"/>
                <w:sz w:val="24"/>
                <w:szCs w:val="24"/>
              </w:rPr>
              <w:t>登记和管理企业的风险信息，包括风险类型、等级、责任人等；进行风险评估和分析，制定相应的控制策略和计划；监控风险的实施和效果，及时调整风险管理措施；生成风险报告，向管理层汇报风险情况和控制措施的有效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1293" w:type="dxa"/>
            <w:tcBorders>
              <w:top w:val="nil"/>
              <w:left w:val="single" w:color="auto" w:sz="12" w:space="0"/>
              <w:bottom w:val="single" w:color="auto" w:sz="6" w:space="0"/>
              <w:right w:val="single" w:color="auto" w:sz="6" w:space="0"/>
            </w:tcBorders>
            <w:vAlign w:val="center"/>
          </w:tcPr>
          <w:p>
            <w:pPr>
              <w:pStyle w:val="93"/>
              <w:spacing w:line="360" w:lineRule="auto"/>
              <w:jc w:val="center"/>
              <w:rPr>
                <w:rFonts w:hint="eastAsia" w:asciiTheme="minorEastAsia" w:hAnsiTheme="minorEastAsia" w:eastAsiaTheme="minorEastAsia"/>
                <w:color w:val="000000"/>
                <w:sz w:val="24"/>
                <w:szCs w:val="24"/>
                <w:lang w:eastAsia="zh-CN"/>
              </w:rPr>
            </w:pPr>
            <w:r>
              <w:rPr>
                <w:rFonts w:hint="eastAsia" w:asciiTheme="minorEastAsia" w:hAnsiTheme="minorEastAsia" w:eastAsiaTheme="minorEastAsia"/>
                <w:color w:val="000000"/>
                <w:sz w:val="24"/>
                <w:szCs w:val="24"/>
                <w:lang w:val="en-US" w:eastAsia="zh-CN"/>
              </w:rPr>
              <w:t>2</w:t>
            </w:r>
          </w:p>
        </w:tc>
        <w:tc>
          <w:tcPr>
            <w:tcW w:w="7639" w:type="dxa"/>
            <w:tcBorders>
              <w:top w:val="nil"/>
              <w:left w:val="single" w:color="auto" w:sz="6" w:space="0"/>
              <w:bottom w:val="single" w:color="auto" w:sz="6" w:space="0"/>
              <w:right w:val="single" w:color="auto" w:sz="12" w:space="0"/>
            </w:tcBorders>
          </w:tcPr>
          <w:p>
            <w:pPr>
              <w:pStyle w:val="93"/>
              <w:spacing w:line="360" w:lineRule="auto"/>
              <w:rPr>
                <w:rFonts w:hint="default" w:asciiTheme="minorEastAsia" w:hAnsiTheme="minorEastAsia" w:eastAsiaTheme="minorEastAsia"/>
                <w:color w:val="000000"/>
                <w:sz w:val="24"/>
                <w:szCs w:val="24"/>
                <w:lang w:val="en-US" w:eastAsia="zh-CN"/>
              </w:rPr>
            </w:pPr>
            <w:r>
              <w:rPr>
                <w:rFonts w:hint="eastAsia" w:asciiTheme="minorEastAsia" w:hAnsiTheme="minorEastAsia" w:eastAsiaTheme="minorEastAsia"/>
                <w:color w:val="000000"/>
                <w:sz w:val="24"/>
                <w:szCs w:val="24"/>
                <w:lang w:val="en-US" w:eastAsia="zh-CN"/>
              </w:rPr>
              <w:t>支持风险预警管理，支持针对不同风险设置预警规则，能自动实现风险预警。</w:t>
            </w:r>
          </w:p>
        </w:tc>
      </w:tr>
    </w:tbl>
    <w:p>
      <w:pPr>
        <w:pStyle w:val="5"/>
        <w:rPr>
          <w:rFonts w:hint="eastAsia"/>
          <w:lang w:val="en-US" w:eastAsia="zh-CN"/>
        </w:rPr>
      </w:pPr>
    </w:p>
    <w:p>
      <w:pPr>
        <w:pStyle w:val="6"/>
        <w:rPr>
          <w:rFonts w:asciiTheme="minorEastAsia" w:hAnsiTheme="minorEastAsia" w:eastAsiaTheme="minorEastAsia"/>
          <w:sz w:val="24"/>
          <w:szCs w:val="24"/>
        </w:rPr>
      </w:pPr>
      <w:bookmarkStart w:id="28" w:name="_Toc32039"/>
      <w:r>
        <w:rPr>
          <w:rFonts w:hint="eastAsia" w:asciiTheme="minorEastAsia" w:hAnsiTheme="minorEastAsia" w:eastAsiaTheme="minorEastAsia"/>
          <w:sz w:val="24"/>
          <w:szCs w:val="24"/>
          <w:lang w:val="en-US" w:eastAsia="zh-CN"/>
        </w:rPr>
        <w:t>法务资源管理</w:t>
      </w:r>
      <w:bookmarkEnd w:id="28"/>
    </w:p>
    <w:p>
      <w:pPr>
        <w:pStyle w:val="7"/>
        <w:rPr>
          <w:rFonts w:cs="宋体" w:asciiTheme="minorEastAsia" w:hAnsiTheme="minorEastAsia" w:eastAsiaTheme="minorEastAsia"/>
          <w:sz w:val="24"/>
          <w:szCs w:val="24"/>
        </w:rPr>
      </w:pPr>
      <w:bookmarkStart w:id="29" w:name="_Toc12377"/>
      <w:r>
        <w:rPr>
          <w:rFonts w:hint="eastAsia" w:cs="宋体" w:asciiTheme="minorEastAsia" w:hAnsiTheme="minorEastAsia" w:eastAsiaTheme="minorEastAsia"/>
        </w:rPr>
        <w:t>业务状况</w:t>
      </w:r>
      <w:bookmarkEnd w:id="29"/>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集团公司各部门可通过法律事务管理部门协调</w:t>
      </w:r>
      <w:r>
        <w:rPr>
          <w:rFonts w:hint="default" w:asciiTheme="minorEastAsia" w:hAnsiTheme="minorEastAsia" w:eastAsiaTheme="minorEastAsia" w:cstheme="minorEastAsia"/>
          <w:sz w:val="24"/>
          <w:szCs w:val="24"/>
          <w:lang w:val="en-US" w:eastAsia="zh-CN"/>
        </w:rPr>
        <w:t>安排与律师事务所联系，征求本部门职责范围内业务工作的法律意见</w:t>
      </w:r>
      <w:r>
        <w:rPr>
          <w:rFonts w:hint="eastAsia" w:asciiTheme="minorEastAsia" w:hAnsiTheme="minorEastAsia" w:eastAsiaTheme="minorEastAsia" w:cstheme="minorEastAsia"/>
          <w:sz w:val="24"/>
          <w:szCs w:val="24"/>
          <w:lang w:val="en-US" w:eastAsia="zh-CN"/>
        </w:rPr>
        <w:t xml:space="preserve">。需集团公司外聘常年法律顾问全程参与有关重 </w:t>
      </w:r>
      <w:r>
        <w:rPr>
          <w:rFonts w:hint="default" w:asciiTheme="minorEastAsia" w:hAnsiTheme="minorEastAsia" w:eastAsiaTheme="minorEastAsia" w:cstheme="minorEastAsia"/>
          <w:sz w:val="24"/>
          <w:szCs w:val="24"/>
          <w:lang w:val="en-US" w:eastAsia="zh-CN"/>
        </w:rPr>
        <w:t>要经济活动的，相关业务部门提出申请、企业分管负责人审核，由法律事务管理部门负责办理</w:t>
      </w:r>
      <w:r>
        <w:rPr>
          <w:rFonts w:hint="eastAsia" w:asciiTheme="minorEastAsia" w:hAnsiTheme="minorEastAsia" w:eastAsiaTheme="minorEastAsia" w:cstheme="minorEastAsia"/>
          <w:sz w:val="24"/>
          <w:szCs w:val="24"/>
          <w:lang w:val="en-US" w:eastAsia="zh-CN"/>
        </w:rPr>
        <w:t>。</w:t>
      </w:r>
    </w:p>
    <w:p>
      <w:pPr>
        <w:pStyle w:val="7"/>
        <w:rPr>
          <w:rFonts w:cs="宋体" w:asciiTheme="minorEastAsia" w:hAnsiTheme="minorEastAsia" w:eastAsiaTheme="minorEastAsia"/>
        </w:rPr>
      </w:pPr>
      <w:bookmarkStart w:id="30" w:name="_Toc14002"/>
      <w:r>
        <w:rPr>
          <w:rFonts w:hint="eastAsia" w:cs="宋体" w:asciiTheme="minorEastAsia" w:hAnsiTheme="minorEastAsia" w:eastAsiaTheme="minorEastAsia"/>
        </w:rPr>
        <w:t>业务基本需求</w:t>
      </w:r>
      <w:bookmarkEnd w:id="30"/>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1.实现外聘律所管理，整合企业内外部资源，规范管理律所选聘流程及服务评价机制</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2.实现法律人员库管理，支持合作律师入库、律师信息维护管理，确保律师资源高效运用。促进内外部律师高效协同</w:t>
      </w:r>
    </w:p>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20" w:firstLineChars="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3.实现律所、律师管理及服务评价管理，提升外聘律师律所服务质量，促进内外部律师高效协同。</w:t>
      </w:r>
    </w:p>
    <w:p>
      <w:pPr>
        <w:pStyle w:val="92"/>
        <w:numPr>
          <w:ilvl w:val="0"/>
          <w:numId w:val="0"/>
        </w:numPr>
        <w:ind w:left="480" w:leftChars="0"/>
        <w:rPr>
          <w:rFonts w:asciiTheme="minorEastAsia" w:hAnsiTheme="minorEastAsia" w:eastAsiaTheme="minorEastAsia"/>
          <w:sz w:val="24"/>
          <w:szCs w:val="24"/>
        </w:rPr>
      </w:pPr>
    </w:p>
    <w:p>
      <w:pPr>
        <w:pStyle w:val="7"/>
        <w:rPr>
          <w:rFonts w:cs="宋体" w:asciiTheme="minorEastAsia" w:hAnsiTheme="minorEastAsia" w:eastAsiaTheme="minorEastAsia"/>
        </w:rPr>
      </w:pPr>
      <w:bookmarkStart w:id="31" w:name="_Toc11659"/>
      <w:r>
        <w:rPr>
          <w:rFonts w:hint="eastAsia" w:cs="宋体" w:asciiTheme="minorEastAsia" w:hAnsiTheme="minorEastAsia" w:eastAsiaTheme="minorEastAsia"/>
        </w:rPr>
        <w:t>详细需求说明</w:t>
      </w:r>
      <w:bookmarkEnd w:id="31"/>
    </w:p>
    <w:p>
      <w:pPr>
        <w:pStyle w:val="8"/>
        <w:rPr>
          <w:rFonts w:asciiTheme="minorEastAsia" w:hAnsiTheme="minorEastAsia" w:eastAsiaTheme="minorEastAsia"/>
          <w:sz w:val="24"/>
          <w:szCs w:val="24"/>
        </w:rPr>
      </w:pPr>
      <w:bookmarkStart w:id="32" w:name="_Toc321734143"/>
      <w:r>
        <w:rPr>
          <w:rFonts w:hint="eastAsia" w:asciiTheme="minorEastAsia" w:hAnsiTheme="minorEastAsia" w:eastAsiaTheme="minorEastAsia"/>
          <w:sz w:val="24"/>
          <w:szCs w:val="24"/>
        </w:rPr>
        <w:t>业务场景</w:t>
      </w:r>
      <w:bookmarkEnd w:id="32"/>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5652"/>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shd w:val="clear" w:color="auto" w:fill="D7D7D7" w:themeFill="background1" w:themeFillShade="D8"/>
            <w:vAlign w:val="center"/>
          </w:tcPr>
          <w:p>
            <w:pPr>
              <w:pStyle w:val="5"/>
              <w:ind w:left="0" w:leftChars="0" w:firstLine="0" w:firstLineChars="0"/>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阶段</w:t>
            </w:r>
          </w:p>
        </w:tc>
        <w:tc>
          <w:tcPr>
            <w:tcW w:w="5652" w:type="dxa"/>
            <w:shd w:val="clear" w:color="auto" w:fill="D7D7D7" w:themeFill="background1" w:themeFillShade="D8"/>
            <w:vAlign w:val="center"/>
          </w:tcPr>
          <w:p>
            <w:pPr>
              <w:pStyle w:val="5"/>
              <w:ind w:left="0" w:leftChars="0" w:firstLine="0" w:firstLineChars="0"/>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场景</w:t>
            </w:r>
          </w:p>
        </w:tc>
        <w:tc>
          <w:tcPr>
            <w:tcW w:w="1820" w:type="dxa"/>
            <w:shd w:val="clear" w:color="auto" w:fill="D7D7D7" w:themeFill="background1" w:themeFillShade="D8"/>
            <w:vAlign w:val="center"/>
          </w:tcPr>
          <w:p>
            <w:pPr>
              <w:pStyle w:val="5"/>
              <w:ind w:left="0" w:leftChars="0" w:firstLine="0" w:firstLineChars="0"/>
              <w:rPr>
                <w:rFonts w:hint="eastAsia" w:asciiTheme="minorEastAsia" w:hAnsiTheme="minorEastAsia" w:eastAsiaTheme="minorEastAsia" w:cstheme="minorEastAsia"/>
                <w:b/>
                <w:bCs/>
                <w:sz w:val="21"/>
                <w:szCs w:val="21"/>
                <w:vertAlign w:val="baseline"/>
                <w:lang w:val="en-US" w:eastAsia="zh-CN"/>
              </w:rPr>
            </w:pPr>
            <w:r>
              <w:rPr>
                <w:rFonts w:hint="eastAsia" w:asciiTheme="minorEastAsia" w:hAnsiTheme="minorEastAsia" w:eastAsiaTheme="minorEastAsia" w:cstheme="minorEastAsia"/>
                <w:b/>
                <w:bCs/>
                <w:sz w:val="21"/>
                <w:szCs w:val="21"/>
                <w:vertAlign w:val="baseline"/>
                <w:lang w:val="en-US" w:eastAsia="zh-CN"/>
              </w:rPr>
              <w:t>部门/用户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登记</w:t>
            </w:r>
          </w:p>
        </w:tc>
        <w:tc>
          <w:tcPr>
            <w:tcW w:w="5652"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开展审计工作实施前，有新选聘的律师事务所或律师时，由审计法务部的法治合规岗或内外审岗对新选聘的律师事务所信息或律师信息进行登记入库</w:t>
            </w:r>
          </w:p>
        </w:tc>
        <w:tc>
          <w:tcPr>
            <w:tcW w:w="1820"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法治合规岗/内审岗/外审岗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更新</w:t>
            </w:r>
          </w:p>
        </w:tc>
        <w:tc>
          <w:tcPr>
            <w:tcW w:w="5652"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当有律师事务所或律师信息更新时，由审计法务部的法治合规岗或内外审岗对律师事务所信息或律师信息进行更新维护</w:t>
            </w:r>
          </w:p>
        </w:tc>
        <w:tc>
          <w:tcPr>
            <w:tcW w:w="1820"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法治合规岗/内审岗/外审岗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评价</w:t>
            </w:r>
          </w:p>
        </w:tc>
        <w:tc>
          <w:tcPr>
            <w:tcW w:w="5652"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对参与审计工作的外部律师事务所或律师开展服务质量评价</w:t>
            </w:r>
          </w:p>
        </w:tc>
        <w:tc>
          <w:tcPr>
            <w:tcW w:w="1820" w:type="dxa"/>
            <w:vAlign w:val="center"/>
          </w:tcPr>
          <w:p>
            <w:pPr>
              <w:pStyle w:val="5"/>
              <w:ind w:left="0" w:leftChars="0" w:firstLine="0" w:firstLineChars="0"/>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法治合规岗/内审岗/外审岗</w:t>
            </w:r>
          </w:p>
        </w:tc>
      </w:tr>
    </w:tbl>
    <w:p>
      <w:pPr>
        <w:pStyle w:val="8"/>
        <w:rPr>
          <w:rFonts w:asciiTheme="minorEastAsia" w:hAnsiTheme="minorEastAsia" w:eastAsiaTheme="minorEastAsia"/>
          <w:sz w:val="24"/>
          <w:szCs w:val="24"/>
        </w:rPr>
      </w:pPr>
      <w:r>
        <w:rPr>
          <w:rFonts w:hint="eastAsia" w:asciiTheme="minorEastAsia" w:hAnsiTheme="minorEastAsia" w:eastAsiaTheme="minorEastAsia"/>
          <w:sz w:val="24"/>
          <w:szCs w:val="24"/>
        </w:rPr>
        <w:t>流程图</w:t>
      </w:r>
    </w:p>
    <w:p>
      <w:pPr>
        <w:pStyle w:val="5"/>
        <w:rPr>
          <w:rFonts w:hint="default" w:asciiTheme="minorEastAsia" w:hAnsiTheme="minorEastAsia" w:eastAsiaTheme="minorEastAsia"/>
          <w:b/>
          <w:bCs/>
          <w:sz w:val="24"/>
          <w:szCs w:val="24"/>
          <w:lang w:val="en-US" w:eastAsia="zh-CN"/>
        </w:rPr>
      </w:pPr>
      <w:r>
        <w:rPr>
          <w:rFonts w:hint="eastAsia" w:asciiTheme="minorEastAsia" w:hAnsiTheme="minorEastAsia" w:eastAsiaTheme="minorEastAsia"/>
          <w:b/>
          <w:bCs/>
          <w:sz w:val="24"/>
          <w:szCs w:val="24"/>
          <w:lang w:val="en-US" w:eastAsia="zh-CN"/>
        </w:rPr>
        <w:t>1、审计资源管理流程图</w:t>
      </w:r>
    </w:p>
    <w:p>
      <w:pPr>
        <w:pStyle w:val="5"/>
        <w:jc w:val="center"/>
        <w:rPr>
          <w:rFonts w:hint="eastAsia" w:asciiTheme="minorEastAsia" w:hAnsiTheme="minorEastAsia" w:eastAsiaTheme="minorEastAsia"/>
          <w:sz w:val="24"/>
          <w:szCs w:val="24"/>
        </w:rPr>
      </w:pPr>
      <w:r>
        <w:rPr>
          <w:rFonts w:ascii="宋体" w:hAnsi="宋体" w:eastAsia="宋体" w:cs="宋体"/>
          <w:sz w:val="24"/>
          <w:szCs w:val="24"/>
        </w:rPr>
        <w:drawing>
          <wp:inline distT="0" distB="0" distL="114300" distR="114300">
            <wp:extent cx="3248025" cy="4105275"/>
            <wp:effectExtent l="0" t="0" r="0" b="0"/>
            <wp:docPr id="9"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IMG_256"/>
                    <pic:cNvPicPr>
                      <a:picLocks noChangeAspect="1"/>
                    </pic:cNvPicPr>
                  </pic:nvPicPr>
                  <pic:blipFill>
                    <a:blip r:embed="rId17"/>
                    <a:stretch>
                      <a:fillRect/>
                    </a:stretch>
                  </pic:blipFill>
                  <pic:spPr>
                    <a:xfrm>
                      <a:off x="0" y="0"/>
                      <a:ext cx="3248025" cy="4105275"/>
                    </a:xfrm>
                    <a:prstGeom prst="rect">
                      <a:avLst/>
                    </a:prstGeom>
                    <a:noFill/>
                    <a:ln w="9525">
                      <a:noFill/>
                    </a:ln>
                  </pic:spPr>
                </pic:pic>
              </a:graphicData>
            </a:graphic>
          </wp:inline>
        </w:drawing>
      </w:r>
    </w:p>
    <w:p>
      <w:pPr>
        <w:pStyle w:val="17"/>
        <w:rPr>
          <w:rFonts w:asciiTheme="minorEastAsia" w:hAnsiTheme="minorEastAsia" w:eastAsiaTheme="minorEastAsia"/>
          <w:sz w:val="24"/>
          <w:szCs w:val="24"/>
        </w:rPr>
      </w:pPr>
      <w:r>
        <w:rPr>
          <w:rFonts w:hint="eastAsia" w:asciiTheme="minorEastAsia" w:hAnsiTheme="minorEastAsia" w:eastAsiaTheme="minorEastAsia"/>
          <w:b/>
          <w:sz w:val="24"/>
          <w:szCs w:val="24"/>
        </w:rPr>
        <w:t>流程说明</w:t>
      </w:r>
      <w:r>
        <w:rPr>
          <w:rFonts w:hint="eastAsia" w:asciiTheme="minorEastAsia" w:hAnsiTheme="minorEastAsia" w:eastAsiaTheme="minorEastAsia"/>
          <w:sz w:val="24"/>
          <w:szCs w:val="24"/>
        </w:rPr>
        <w:t>：</w:t>
      </w:r>
    </w:p>
    <w:tbl>
      <w:tblPr>
        <w:tblStyle w:val="33"/>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72" w:type="dxa"/>
          <w:bottom w:w="0" w:type="dxa"/>
          <w:right w:w="72" w:type="dxa"/>
        </w:tblCellMar>
      </w:tblPr>
      <w:tblGrid>
        <w:gridCol w:w="1124"/>
        <w:gridCol w:w="1292"/>
        <w:gridCol w:w="1801"/>
        <w:gridCol w:w="1694"/>
        <w:gridCol w:w="722"/>
        <w:gridCol w:w="1074"/>
        <w:gridCol w:w="122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blHeader/>
        </w:trPr>
        <w:tc>
          <w:tcPr>
            <w:tcW w:w="5000" w:type="pct"/>
            <w:gridSpan w:val="7"/>
            <w:tcBorders>
              <w:top w:val="single" w:color="auto" w:sz="12" w:space="0"/>
              <w:left w:val="single" w:color="auto" w:sz="12" w:space="0"/>
              <w:bottom w:val="single" w:color="auto" w:sz="8" w:space="0"/>
              <w:right w:val="single" w:color="auto" w:sz="12" w:space="0"/>
            </w:tcBorders>
            <w:shd w:val="clear" w:color="auto" w:fill="EAEAEA"/>
            <w:vAlign w:val="center"/>
          </w:tcPr>
          <w:p>
            <w:pPr>
              <w:pStyle w:val="94"/>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流程编号：</w:t>
            </w:r>
            <w:r>
              <w:rPr>
                <w:rFonts w:hint="eastAsia" w:asciiTheme="minorEastAsia" w:hAnsiTheme="minorEastAsia" w:eastAsiaTheme="minorEastAsia" w:cstheme="minorEastAsia"/>
                <w:color w:val="000000"/>
                <w:sz w:val="21"/>
                <w:szCs w:val="21"/>
                <w:lang w:val="en-US" w:eastAsia="zh-CN"/>
              </w:rPr>
              <w:t>FP_AR_001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8" w:space="0"/>
              <w:right w:val="single" w:color="auto" w:sz="12" w:space="0"/>
            </w:tcBorders>
            <w:shd w:val="clear" w:color="auto" w:fill="EAEAEA"/>
            <w:vAlign w:val="center"/>
          </w:tcPr>
          <w:p>
            <w:pPr>
              <w:pStyle w:val="94"/>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流程名称：</w:t>
            </w:r>
            <w:r>
              <w:rPr>
                <w:rFonts w:hint="eastAsia" w:asciiTheme="minorEastAsia" w:hAnsiTheme="minorEastAsia" w:eastAsiaTheme="minorEastAsia" w:cstheme="minorEastAsia"/>
                <w:color w:val="000000"/>
                <w:sz w:val="21"/>
                <w:szCs w:val="21"/>
                <w:lang w:val="en-US" w:eastAsia="zh-CN"/>
              </w:rPr>
              <w:t>审计资源管理流程图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12" w:space="0"/>
              <w:right w:val="single" w:color="auto" w:sz="12" w:space="0"/>
            </w:tcBorders>
            <w:shd w:val="clear" w:color="auto" w:fill="EAEAEA"/>
            <w:vAlign w:val="center"/>
          </w:tcPr>
          <w:p>
            <w:pPr>
              <w:pStyle w:val="94"/>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流程版本：</w:t>
            </w:r>
            <w:r>
              <w:rPr>
                <w:rFonts w:hint="eastAsia" w:asciiTheme="minorEastAsia" w:hAnsiTheme="minorEastAsia" w:eastAsiaTheme="minorEastAsia" w:cstheme="minorEastAsia"/>
                <w:color w:val="000000"/>
                <w:sz w:val="21"/>
                <w:szCs w:val="21"/>
                <w:lang w:val="en-US" w:eastAsia="zh-CN"/>
              </w:rPr>
              <w:t>V1.0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630" w:type="pct"/>
            <w:tcBorders>
              <w:top w:val="single" w:color="auto" w:sz="12" w:space="0"/>
              <w:left w:val="single" w:color="auto" w:sz="12" w:space="0"/>
              <w:bottom w:val="single" w:color="auto" w:sz="6" w:space="0"/>
              <w:right w:val="single" w:color="auto" w:sz="6"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步骤编号</w:t>
            </w:r>
          </w:p>
        </w:tc>
        <w:tc>
          <w:tcPr>
            <w:tcW w:w="723"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步骤名称</w:t>
            </w:r>
          </w:p>
        </w:tc>
        <w:tc>
          <w:tcPr>
            <w:tcW w:w="1008"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业务过程描述</w:t>
            </w:r>
          </w:p>
        </w:tc>
        <w:tc>
          <w:tcPr>
            <w:tcW w:w="948"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责任部门/岗位</w:t>
            </w:r>
          </w:p>
        </w:tc>
        <w:tc>
          <w:tcPr>
            <w:tcW w:w="404"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处理方式</w:t>
            </w:r>
          </w:p>
        </w:tc>
        <w:tc>
          <w:tcPr>
            <w:tcW w:w="601"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输入文档</w:t>
            </w:r>
          </w:p>
        </w:tc>
        <w:tc>
          <w:tcPr>
            <w:tcW w:w="682" w:type="pct"/>
            <w:tcBorders>
              <w:top w:val="single" w:color="auto" w:sz="12" w:space="0"/>
              <w:left w:val="single" w:color="auto" w:sz="8" w:space="0"/>
              <w:bottom w:val="single" w:color="auto" w:sz="6" w:space="0"/>
              <w:right w:val="single" w:color="auto" w:sz="12" w:space="0"/>
            </w:tcBorders>
            <w:shd w:val="clear" w:color="auto" w:fill="EAEAEA"/>
            <w:vAlign w:val="center"/>
          </w:tcPr>
          <w:p>
            <w:pPr>
              <w:pStyle w:val="94"/>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输出文档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60" w:hRule="exact"/>
        </w:trPr>
        <w:tc>
          <w:tcPr>
            <w:tcW w:w="630" w:type="pct"/>
            <w:tcBorders>
              <w:top w:val="single" w:color="auto" w:sz="6" w:space="0"/>
              <w:left w:val="nil"/>
              <w:bottom w:val="single" w:color="auto" w:sz="6" w:space="0"/>
              <w:right w:val="single" w:color="auto" w:sz="6"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723"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1008"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948"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404"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601"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c>
          <w:tcPr>
            <w:tcW w:w="682" w:type="pct"/>
            <w:tcBorders>
              <w:top w:val="single" w:color="auto" w:sz="6" w:space="0"/>
              <w:left w:val="single" w:color="auto" w:sz="8" w:space="0"/>
              <w:bottom w:val="single" w:color="auto" w:sz="6" w:space="0"/>
              <w:right w:val="nil"/>
            </w:tcBorders>
            <w:shd w:val="pct50" w:color="auto" w:fill="auto"/>
            <w:vAlign w:val="center"/>
          </w:tcPr>
          <w:p>
            <w:pPr>
              <w:pStyle w:val="93"/>
              <w:jc w:val="both"/>
              <w:rPr>
                <w:rFonts w:hint="eastAsia" w:asciiTheme="minorEastAsia" w:hAnsiTheme="minorEastAsia" w:eastAsiaTheme="minorEastAsia" w:cstheme="minorEastAsia"/>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0" w:type="pct"/>
            <w:tcBorders>
              <w:top w:val="single" w:color="auto" w:sz="6" w:space="0"/>
              <w:left w:val="single" w:color="auto" w:sz="12"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A1_01</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登记律师事务所和律师信息</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由审计法务部法治合规岗或内审岗、外审岗对维护律师事务所和律师信息</w:t>
            </w:r>
          </w:p>
        </w:tc>
        <w:tc>
          <w:tcPr>
            <w:tcW w:w="948" w:type="pct"/>
            <w:tcBorders>
              <w:top w:val="single" w:color="auto" w:sz="6" w:space="0"/>
              <w:left w:val="single" w:color="auto" w:sz="8" w:space="0"/>
              <w:bottom w:val="single" w:color="auto" w:sz="6" w:space="0"/>
              <w:right w:val="single" w:color="auto" w:sz="6"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审计法务部</w:t>
            </w:r>
          </w:p>
        </w:tc>
        <w:tc>
          <w:tcPr>
            <w:tcW w:w="404"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无</w:t>
            </w:r>
          </w:p>
        </w:tc>
        <w:tc>
          <w:tcPr>
            <w:tcW w:w="682"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律师事务所信息和律师信息</w:t>
            </w:r>
          </w:p>
        </w:tc>
      </w:tr>
    </w:tbl>
    <w:p>
      <w:pPr>
        <w:pStyle w:val="17"/>
        <w:rPr>
          <w:rFonts w:asciiTheme="minorEastAsia" w:hAnsiTheme="minorEastAsia" w:eastAsiaTheme="minorEastAsia"/>
          <w:sz w:val="24"/>
          <w:szCs w:val="24"/>
        </w:rPr>
      </w:pPr>
    </w:p>
    <w:p>
      <w:pPr>
        <w:pStyle w:val="8"/>
        <w:rPr>
          <w:rFonts w:asciiTheme="minorEastAsia" w:hAnsiTheme="minorEastAsia" w:eastAsiaTheme="minorEastAsia"/>
          <w:sz w:val="24"/>
          <w:szCs w:val="24"/>
        </w:rPr>
      </w:pPr>
      <w:bookmarkStart w:id="33" w:name="_Toc321734144"/>
      <w:r>
        <w:rPr>
          <w:rFonts w:hint="eastAsia" w:asciiTheme="minorEastAsia" w:hAnsiTheme="minorEastAsia" w:eastAsiaTheme="minorEastAsia"/>
          <w:sz w:val="24"/>
          <w:szCs w:val="24"/>
        </w:rPr>
        <w:t>用户业务需求</w:t>
      </w:r>
      <w:bookmarkEnd w:id="33"/>
    </w:p>
    <w:tbl>
      <w:tblPr>
        <w:tblStyle w:val="33"/>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72" w:type="dxa"/>
          <w:bottom w:w="0" w:type="dxa"/>
          <w:right w:w="72" w:type="dxa"/>
        </w:tblCellMar>
      </w:tblPr>
      <w:tblGrid>
        <w:gridCol w:w="1292"/>
        <w:gridCol w:w="76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723" w:type="pct"/>
            <w:tcBorders>
              <w:top w:val="single" w:color="auto" w:sz="4" w:space="0"/>
              <w:left w:val="single" w:color="auto" w:sz="4" w:space="0"/>
              <w:bottom w:val="single" w:color="auto" w:sz="4" w:space="0"/>
              <w:right w:val="single" w:color="auto" w:sz="4" w:space="0"/>
            </w:tcBorders>
            <w:shd w:val="clear" w:color="auto" w:fill="EAEAEA"/>
          </w:tcPr>
          <w:p>
            <w:pPr>
              <w:pStyle w:val="94"/>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需求编号</w:t>
            </w:r>
          </w:p>
        </w:tc>
        <w:tc>
          <w:tcPr>
            <w:tcW w:w="4276" w:type="pct"/>
            <w:tcBorders>
              <w:top w:val="single" w:color="auto" w:sz="4" w:space="0"/>
              <w:left w:val="single" w:color="auto" w:sz="4" w:space="0"/>
              <w:bottom w:val="single" w:color="auto" w:sz="4" w:space="0"/>
              <w:right w:val="single" w:color="auto" w:sz="4" w:space="0"/>
            </w:tcBorders>
            <w:shd w:val="clear" w:color="auto" w:fill="EAEAEA"/>
          </w:tcPr>
          <w:p>
            <w:pPr>
              <w:pStyle w:val="94"/>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需求详细描述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90" w:hRule="exact"/>
        </w:trPr>
        <w:tc>
          <w:tcPr>
            <w:tcW w:w="723" w:type="pct"/>
            <w:tcBorders>
              <w:top w:val="single" w:color="auto" w:sz="4" w:space="0"/>
              <w:left w:val="nil"/>
              <w:bottom w:val="single" w:color="auto" w:sz="6" w:space="0"/>
              <w:right w:val="nil"/>
            </w:tcBorders>
            <w:shd w:val="pct50" w:color="auto" w:fill="auto"/>
          </w:tcPr>
          <w:p>
            <w:pPr>
              <w:pStyle w:val="93"/>
              <w:rPr>
                <w:rFonts w:hint="eastAsia" w:asciiTheme="minorEastAsia" w:hAnsiTheme="minorEastAsia" w:eastAsiaTheme="minorEastAsia" w:cstheme="minorEastAsia"/>
                <w:color w:val="000000"/>
                <w:sz w:val="24"/>
                <w:szCs w:val="24"/>
              </w:rPr>
            </w:pPr>
          </w:p>
        </w:tc>
        <w:tc>
          <w:tcPr>
            <w:tcW w:w="4276" w:type="pct"/>
            <w:tcBorders>
              <w:top w:val="single" w:color="auto" w:sz="4" w:space="0"/>
              <w:left w:val="nil"/>
              <w:bottom w:val="single" w:color="auto" w:sz="6" w:space="0"/>
              <w:right w:val="nil"/>
            </w:tcBorders>
            <w:shd w:val="pct50" w:color="auto" w:fill="auto"/>
          </w:tcPr>
          <w:p>
            <w:pPr>
              <w:pStyle w:val="93"/>
              <w:rPr>
                <w:rFonts w:hint="eastAsia" w:asciiTheme="minorEastAsia" w:hAnsiTheme="minorEastAsia" w:eastAsiaTheme="minorEastAsia" w:cstheme="minorEastAsia"/>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723" w:type="pct"/>
            <w:tcBorders>
              <w:top w:val="nil"/>
              <w:left w:val="single" w:color="auto" w:sz="12" w:space="0"/>
              <w:bottom w:val="single" w:color="auto" w:sz="6" w:space="0"/>
              <w:right w:val="single" w:color="auto" w:sz="6" w:space="0"/>
            </w:tcBorders>
            <w:vAlign w:val="center"/>
          </w:tcPr>
          <w:p>
            <w:pPr>
              <w:pStyle w:val="93"/>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w:t>
            </w:r>
          </w:p>
        </w:tc>
        <w:tc>
          <w:tcPr>
            <w:tcW w:w="4276" w:type="pct"/>
            <w:tcBorders>
              <w:top w:val="nil"/>
              <w:left w:val="single" w:color="auto" w:sz="6" w:space="0"/>
              <w:bottom w:val="single" w:color="auto" w:sz="6" w:space="0"/>
              <w:right w:val="single" w:color="auto" w:sz="12" w:space="0"/>
            </w:tcBorders>
            <w:vAlign w:val="center"/>
          </w:tcPr>
          <w:p>
            <w:pPr>
              <w:pStyle w:val="93"/>
              <w:spacing w:line="360" w:lineRule="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bidi="ar-SA"/>
              </w:rPr>
              <w:t>实现外部合作律所档案信息管理，以及服务记录及评价管理。包含律所名称、律所统一社会信用代码、服务领域、服务区域、典型客户、律所简介、入库原因、资质相关信息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723" w:type="pct"/>
            <w:tcBorders>
              <w:top w:val="nil"/>
              <w:left w:val="single" w:color="auto" w:sz="12" w:space="0"/>
              <w:bottom w:val="nil"/>
              <w:right w:val="single" w:color="auto" w:sz="6" w:space="0"/>
            </w:tcBorders>
            <w:vAlign w:val="center"/>
          </w:tcPr>
          <w:p>
            <w:pPr>
              <w:pStyle w:val="93"/>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w:t>
            </w:r>
          </w:p>
        </w:tc>
        <w:tc>
          <w:tcPr>
            <w:tcW w:w="4276" w:type="pct"/>
            <w:tcBorders>
              <w:top w:val="nil"/>
              <w:left w:val="single" w:color="auto" w:sz="6" w:space="0"/>
              <w:bottom w:val="nil"/>
              <w:right w:val="single" w:color="auto" w:sz="12" w:space="0"/>
            </w:tcBorders>
            <w:vAlign w:val="center"/>
          </w:tcPr>
          <w:p>
            <w:pPr>
              <w:pStyle w:val="93"/>
              <w:spacing w:line="360" w:lineRule="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bidi="ar-SA"/>
              </w:rPr>
              <w:t>支持合作律师分类、准入、律师入库、律师信息维护管理，确保律师资源资源高效运用，维护信息主要包含基本信息、学历信息、擅长领域、资质信息等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723" w:type="pct"/>
            <w:tcBorders>
              <w:top w:val="nil"/>
              <w:left w:val="single" w:color="auto" w:sz="12" w:space="0"/>
              <w:bottom w:val="nil"/>
              <w:right w:val="single" w:color="auto" w:sz="6" w:space="0"/>
            </w:tcBorders>
            <w:vAlign w:val="center"/>
          </w:tcPr>
          <w:p>
            <w:pPr>
              <w:pStyle w:val="93"/>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3</w:t>
            </w:r>
          </w:p>
        </w:tc>
        <w:tc>
          <w:tcPr>
            <w:tcW w:w="4276" w:type="pct"/>
            <w:tcBorders>
              <w:top w:val="nil"/>
              <w:left w:val="single" w:color="auto" w:sz="6" w:space="0"/>
              <w:bottom w:val="nil"/>
              <w:right w:val="single" w:color="auto" w:sz="12" w:space="0"/>
            </w:tcBorders>
            <w:vAlign w:val="center"/>
          </w:tcPr>
          <w:p>
            <w:pPr>
              <w:pStyle w:val="93"/>
              <w:spacing w:line="360" w:lineRule="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bidi="ar-SA"/>
              </w:rPr>
              <w:t>支持外部律师事务所或律师的服务质量评价标准管理，包含对服务质量评价标准的新增、更新维护操作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723" w:type="pct"/>
            <w:tcBorders>
              <w:top w:val="nil"/>
              <w:left w:val="single" w:color="auto" w:sz="12" w:space="0"/>
              <w:bottom w:val="single" w:color="auto" w:sz="6" w:space="0"/>
              <w:right w:val="single" w:color="auto" w:sz="6" w:space="0"/>
            </w:tcBorders>
            <w:vAlign w:val="center"/>
          </w:tcPr>
          <w:p>
            <w:pPr>
              <w:pStyle w:val="93"/>
              <w:jc w:val="center"/>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4</w:t>
            </w:r>
          </w:p>
        </w:tc>
        <w:tc>
          <w:tcPr>
            <w:tcW w:w="4276" w:type="pct"/>
            <w:tcBorders>
              <w:top w:val="nil"/>
              <w:left w:val="single" w:color="auto" w:sz="6" w:space="0"/>
              <w:bottom w:val="single" w:color="auto" w:sz="6" w:space="0"/>
              <w:right w:val="single" w:color="auto" w:sz="12" w:space="0"/>
            </w:tcBorders>
            <w:vAlign w:val="center"/>
          </w:tcPr>
          <w:p>
            <w:pPr>
              <w:pStyle w:val="93"/>
              <w:spacing w:line="360" w:lineRule="auto"/>
              <w:rPr>
                <w:rFonts w:hint="eastAsia" w:asciiTheme="minorEastAsia" w:hAnsiTheme="minorEastAsia" w:eastAsiaTheme="minorEastAsia" w:cstheme="minorEastAsia"/>
                <w:color w:val="000000"/>
                <w:kern w:val="0"/>
                <w:sz w:val="24"/>
                <w:szCs w:val="24"/>
                <w:lang w:val="en-US" w:eastAsia="zh-CN" w:bidi="ar-SA"/>
              </w:rPr>
            </w:pPr>
            <w:r>
              <w:rPr>
                <w:rFonts w:hint="eastAsia" w:asciiTheme="minorEastAsia" w:hAnsiTheme="minorEastAsia" w:eastAsiaTheme="minorEastAsia" w:cstheme="minorEastAsia"/>
                <w:color w:val="000000"/>
                <w:kern w:val="0"/>
                <w:sz w:val="24"/>
                <w:szCs w:val="24"/>
                <w:lang w:val="en-US" w:eastAsia="zh-CN" w:bidi="ar-SA"/>
              </w:rPr>
              <w:t>支持对外部律师事务所或律师的服务质量评价管理，通过与服务质量评价标准结合，实现服务评价打分并进行排名</w:t>
            </w:r>
          </w:p>
        </w:tc>
      </w:tr>
    </w:tbl>
    <w:p>
      <w:pPr>
        <w:pStyle w:val="5"/>
        <w:ind w:firstLine="0" w:firstLineChars="0"/>
        <w:rPr>
          <w:rFonts w:asciiTheme="minorEastAsia" w:hAnsiTheme="minorEastAsia" w:eastAsiaTheme="minorEastAsia"/>
          <w:sz w:val="24"/>
          <w:szCs w:val="24"/>
        </w:rPr>
      </w:pPr>
    </w:p>
    <w:p>
      <w:pPr>
        <w:pStyle w:val="6"/>
        <w:rPr>
          <w:rFonts w:hint="eastAsia" w:cs="Times New Roman" w:asciiTheme="minorEastAsia" w:hAnsiTheme="minorEastAsia" w:eastAsiaTheme="minorEastAsia"/>
          <w:b/>
          <w:bCs/>
          <w:kern w:val="2"/>
          <w:sz w:val="24"/>
          <w:szCs w:val="24"/>
          <w:lang w:val="en-US" w:eastAsia="zh-CN" w:bidi="ar-SA"/>
        </w:rPr>
      </w:pPr>
      <w:r>
        <w:rPr>
          <w:rFonts w:hint="eastAsia" w:cs="Times New Roman" w:asciiTheme="minorEastAsia" w:hAnsiTheme="minorEastAsia" w:eastAsiaTheme="minorEastAsia"/>
          <w:b/>
          <w:bCs/>
          <w:kern w:val="2"/>
          <w:sz w:val="24"/>
          <w:szCs w:val="24"/>
          <w:lang w:val="en-US" w:eastAsia="zh-CN" w:bidi="ar-SA"/>
        </w:rPr>
        <w:t>法务合规管理</w:t>
      </w:r>
      <w:bookmarkEnd w:id="27"/>
    </w:p>
    <w:p>
      <w:pPr>
        <w:pStyle w:val="7"/>
      </w:pPr>
      <w:bookmarkStart w:id="34" w:name="_Toc16505"/>
      <w:r>
        <w:rPr>
          <w:rFonts w:hint="eastAsia"/>
          <w:lang w:val="en-US" w:eastAsia="zh-CN"/>
        </w:rPr>
        <w:t>业务状况</w:t>
      </w:r>
      <w:bookmarkEnd w:id="34"/>
    </w:p>
    <w:p>
      <w:pPr>
        <w:pStyle w:val="5"/>
        <w:keepNext/>
        <w:keepLines w:val="0"/>
        <w:pageBreakBefore w:val="0"/>
        <w:widowControl w:val="0"/>
        <w:kinsoku/>
        <w:wordWrap/>
        <w:overflowPunct/>
        <w:topLinePunct w:val="0"/>
        <w:autoSpaceDE/>
        <w:autoSpaceDN/>
        <w:bidi w:val="0"/>
        <w:adjustRightInd/>
        <w:snapToGrid w:val="0"/>
        <w:ind w:left="0" w:leftChars="0" w:firstLine="420" w:firstLineChars="0"/>
        <w:textAlignment w:val="auto"/>
        <w:rPr>
          <w:rFonts w:hint="eastAsia"/>
          <w:sz w:val="24"/>
          <w:szCs w:val="24"/>
          <w:lang w:val="en-US" w:eastAsia="zh-CN"/>
        </w:rPr>
      </w:pPr>
      <w:r>
        <w:rPr>
          <w:rFonts w:hint="eastAsia"/>
          <w:sz w:val="24"/>
          <w:szCs w:val="24"/>
          <w:lang w:val="en-US" w:eastAsia="zh-CN"/>
        </w:rPr>
        <w:t>集团公司办公室收到法院（仲裁机构）相关法</w:t>
      </w:r>
      <w:r>
        <w:rPr>
          <w:rFonts w:hint="default"/>
          <w:sz w:val="24"/>
          <w:szCs w:val="24"/>
          <w:lang w:val="en-US" w:eastAsia="zh-CN"/>
        </w:rPr>
        <w:t>律文书后，在履行审签分件流程时，应同步将相关法律文书复 印件送审计法务部及相关业务部门，及时开展相关工作。</w:t>
      </w:r>
      <w:r>
        <w:rPr>
          <w:rFonts w:hint="eastAsia"/>
          <w:sz w:val="24"/>
          <w:szCs w:val="24"/>
          <w:lang w:val="en-US" w:eastAsia="zh-CN"/>
        </w:rPr>
        <w:t>提议启动司法程序或获悉法律纠纷案件发生</w:t>
      </w:r>
      <w:r>
        <w:rPr>
          <w:rFonts w:hint="default"/>
          <w:sz w:val="24"/>
          <w:szCs w:val="24"/>
          <w:lang w:val="en-US" w:eastAsia="zh-CN"/>
        </w:rPr>
        <w:t>后，涉案业务部门应及时报告集团公司分管领导、总法律顾问，组织审计法务部及相关部门开展研判工作，形成应对措施或方案</w:t>
      </w:r>
      <w:r>
        <w:rPr>
          <w:rFonts w:hint="eastAsia"/>
          <w:sz w:val="24"/>
          <w:szCs w:val="24"/>
          <w:lang w:val="en-US" w:eastAsia="zh-CN"/>
        </w:rPr>
        <w:t>。</w:t>
      </w:r>
    </w:p>
    <w:p>
      <w:pPr>
        <w:pStyle w:val="5"/>
        <w:keepNext/>
        <w:keepLines w:val="0"/>
        <w:pageBreakBefore w:val="0"/>
        <w:widowControl w:val="0"/>
        <w:kinsoku/>
        <w:wordWrap/>
        <w:overflowPunct/>
        <w:topLinePunct w:val="0"/>
        <w:autoSpaceDE/>
        <w:autoSpaceDN/>
        <w:bidi w:val="0"/>
        <w:adjustRightInd/>
        <w:snapToGrid w:val="0"/>
        <w:ind w:left="0" w:leftChars="0" w:firstLine="420" w:firstLineChars="0"/>
        <w:textAlignment w:val="auto"/>
        <w:rPr>
          <w:rFonts w:hint="eastAsia"/>
          <w:sz w:val="24"/>
          <w:szCs w:val="24"/>
          <w:lang w:val="en-US" w:eastAsia="zh-CN"/>
        </w:rPr>
      </w:pPr>
      <w:r>
        <w:rPr>
          <w:rFonts w:hint="eastAsia"/>
          <w:sz w:val="24"/>
          <w:szCs w:val="24"/>
          <w:lang w:val="en-US" w:eastAsia="zh-CN"/>
        </w:rPr>
        <w:t>合规管理是铁路集团通过建立合规管理机制，制定和执行合规政策。由审计法务部牵头开展合规审核、合规检查、合规风险监测、合规考核等，预防、识别、评估、报告和应对合规风险的行为。</w:t>
      </w:r>
    </w:p>
    <w:p>
      <w:pPr>
        <w:pStyle w:val="7"/>
        <w:rPr>
          <w:rFonts w:hint="eastAsia" w:ascii="Times New Roman" w:hAnsi="Times New Roman" w:eastAsia="宋体" w:cs="Times New Roman"/>
          <w:b/>
          <w:bCs/>
          <w:kern w:val="2"/>
          <w:sz w:val="24"/>
          <w:szCs w:val="24"/>
          <w:lang w:val="en-US" w:eastAsia="zh-CN" w:bidi="ar-SA"/>
        </w:rPr>
      </w:pPr>
      <w:bookmarkStart w:id="35" w:name="_Toc12524"/>
      <w:r>
        <w:rPr>
          <w:rFonts w:hint="eastAsia" w:cs="Times New Roman"/>
          <w:b/>
          <w:bCs/>
          <w:kern w:val="2"/>
          <w:sz w:val="24"/>
          <w:szCs w:val="24"/>
          <w:lang w:val="en-US" w:eastAsia="zh-CN" w:bidi="ar-SA"/>
        </w:rPr>
        <w:t>业务基本需求</w:t>
      </w:r>
      <w:bookmarkEnd w:id="35"/>
    </w:p>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20" w:firstLineChars="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1.实现案件纠纷台账跟踪管理，支持记录案件纠纷登记、案件纠纷进展跟踪、案件执行情况跟踪、案件结案归档管理，实现案件纠纷闭环管理。</w:t>
      </w:r>
    </w:p>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20" w:firstLineChars="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实现</w:t>
      </w:r>
      <w:r>
        <w:rPr>
          <w:rFonts w:hint="eastAsia" w:asciiTheme="minorEastAsia" w:hAnsiTheme="minorEastAsia" w:eastAsiaTheme="minorEastAsia"/>
          <w:sz w:val="24"/>
          <w:szCs w:val="24"/>
          <w:lang w:val="en-US" w:eastAsia="zh-CN"/>
        </w:rPr>
        <w:t>合规管理，由审计法务部牵头，各业务部门、职能部门配合各类常规、专项检查，包括市场交易、安全环保、服务质量、劳动用工、财务税收、知识产权、商业伙伴等重点领域的合规管理。支持合规履职标准配置管理和合规履职评价打分管理。</w:t>
      </w:r>
    </w:p>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20" w:firstLineChars="0"/>
        <w:textAlignment w:val="baseline"/>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3.实现法务知识管理，创建法律法规库、合规库、标准合同库，支持文档上传、下载和在线查看，以及合同模板版本管理。</w:t>
      </w:r>
    </w:p>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20" w:firstLineChars="0"/>
        <w:textAlignment w:val="baseline"/>
        <w:rPr>
          <w:rFonts w:hint="eastAsia" w:asciiTheme="minorEastAsia" w:hAnsiTheme="minorEastAsia" w:eastAsiaTheme="minorEastAsia"/>
          <w:sz w:val="24"/>
          <w:szCs w:val="24"/>
          <w:lang w:val="en-US" w:eastAsia="zh-CN"/>
        </w:rPr>
      </w:pPr>
      <w:r>
        <w:rPr>
          <w:rFonts w:hint="eastAsia" w:asciiTheme="minorEastAsia" w:hAnsiTheme="minorEastAsia" w:eastAsiaTheme="minorEastAsia"/>
          <w:sz w:val="24"/>
          <w:szCs w:val="24"/>
          <w:lang w:val="en-US" w:eastAsia="zh-CN"/>
        </w:rPr>
        <w:t>4.实现总法律顾问履职档案管理，支持对总法律顾问履职档案的记录、更新和导出等操作。</w:t>
      </w:r>
    </w:p>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20" w:firstLineChars="0"/>
        <w:textAlignment w:val="baseline"/>
        <w:rPr>
          <w:rFonts w:hint="eastAsia" w:asciiTheme="minorEastAsia" w:hAnsiTheme="minorEastAsia" w:eastAsiaTheme="minorEastAsia"/>
          <w:sz w:val="24"/>
          <w:szCs w:val="24"/>
          <w:lang w:val="en-US" w:eastAsia="zh-CN"/>
        </w:rPr>
      </w:pPr>
    </w:p>
    <w:p>
      <w:pPr>
        <w:pStyle w:val="7"/>
        <w:rPr>
          <w:rFonts w:hint="eastAsia" w:ascii="Times New Roman" w:hAnsi="Times New Roman" w:eastAsia="宋体" w:cs="Times New Roman"/>
          <w:b/>
          <w:bCs/>
          <w:kern w:val="2"/>
          <w:sz w:val="24"/>
          <w:szCs w:val="24"/>
          <w:lang w:val="en-US" w:eastAsia="zh-CN" w:bidi="ar-SA"/>
        </w:rPr>
      </w:pPr>
      <w:bookmarkStart w:id="36" w:name="_Toc3969"/>
      <w:r>
        <w:rPr>
          <w:rFonts w:hint="eastAsia" w:cs="Times New Roman"/>
          <w:b/>
          <w:bCs/>
          <w:kern w:val="2"/>
          <w:sz w:val="24"/>
          <w:szCs w:val="24"/>
          <w:lang w:val="en-US" w:eastAsia="zh-CN" w:bidi="ar-SA"/>
        </w:rPr>
        <w:t>详细需求说明</w:t>
      </w:r>
      <w:bookmarkEnd w:id="36"/>
    </w:p>
    <w:p>
      <w:pPr>
        <w:pStyle w:val="8"/>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业务场景</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5652"/>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shd w:val="clear" w:color="auto" w:fill="D7D7D7" w:themeFill="background1" w:themeFillShade="D8"/>
            <w:vAlign w:val="center"/>
          </w:tcPr>
          <w:p>
            <w:pPr>
              <w:pStyle w:val="5"/>
              <w:ind w:left="0" w:leftChars="0" w:firstLine="0" w:firstLineChars="0"/>
              <w:rPr>
                <w:rFonts w:hint="eastAsia" w:eastAsia="宋体"/>
                <w:b/>
                <w:bCs/>
                <w:sz w:val="21"/>
                <w:szCs w:val="21"/>
                <w:vertAlign w:val="baseline"/>
                <w:lang w:val="en-US" w:eastAsia="zh-CN"/>
              </w:rPr>
            </w:pPr>
            <w:r>
              <w:rPr>
                <w:rFonts w:hint="eastAsia"/>
                <w:b/>
                <w:bCs/>
                <w:sz w:val="21"/>
                <w:szCs w:val="21"/>
                <w:vertAlign w:val="baseline"/>
                <w:lang w:val="en-US" w:eastAsia="zh-CN"/>
              </w:rPr>
              <w:t>阶段</w:t>
            </w:r>
          </w:p>
        </w:tc>
        <w:tc>
          <w:tcPr>
            <w:tcW w:w="5652" w:type="dxa"/>
            <w:shd w:val="clear" w:color="auto" w:fill="D7D7D7" w:themeFill="background1" w:themeFillShade="D8"/>
            <w:vAlign w:val="center"/>
          </w:tcPr>
          <w:p>
            <w:pPr>
              <w:pStyle w:val="5"/>
              <w:ind w:left="0" w:leftChars="0" w:firstLine="0" w:firstLineChars="0"/>
              <w:rPr>
                <w:rFonts w:hint="eastAsia" w:eastAsia="宋体"/>
                <w:b/>
                <w:bCs/>
                <w:sz w:val="21"/>
                <w:szCs w:val="21"/>
                <w:vertAlign w:val="baseline"/>
                <w:lang w:val="en-US" w:eastAsia="zh-CN"/>
              </w:rPr>
            </w:pPr>
            <w:r>
              <w:rPr>
                <w:rFonts w:hint="eastAsia"/>
                <w:b/>
                <w:bCs/>
                <w:sz w:val="21"/>
                <w:szCs w:val="21"/>
                <w:vertAlign w:val="baseline"/>
                <w:lang w:val="en-US" w:eastAsia="zh-CN"/>
              </w:rPr>
              <w:t>场景</w:t>
            </w:r>
          </w:p>
        </w:tc>
        <w:tc>
          <w:tcPr>
            <w:tcW w:w="1820" w:type="dxa"/>
            <w:shd w:val="clear" w:color="auto" w:fill="D7D7D7" w:themeFill="background1" w:themeFillShade="D8"/>
            <w:vAlign w:val="center"/>
          </w:tcPr>
          <w:p>
            <w:pPr>
              <w:pStyle w:val="5"/>
              <w:ind w:left="0" w:leftChars="0" w:firstLine="0" w:firstLineChars="0"/>
              <w:rPr>
                <w:rFonts w:hint="default" w:eastAsia="宋体"/>
                <w:b/>
                <w:bCs/>
                <w:sz w:val="21"/>
                <w:szCs w:val="21"/>
                <w:vertAlign w:val="baseline"/>
                <w:lang w:val="en-US" w:eastAsia="zh-CN"/>
              </w:rPr>
            </w:pPr>
            <w:r>
              <w:rPr>
                <w:rFonts w:hint="eastAsia"/>
                <w:b/>
                <w:bCs/>
                <w:sz w:val="21"/>
                <w:szCs w:val="21"/>
                <w:vertAlign w:val="baseline"/>
                <w:lang w:val="en-US" w:eastAsia="zh-CN"/>
              </w:rPr>
              <w:t>部门/用户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案件纠纷登记</w:t>
            </w:r>
          </w:p>
        </w:tc>
        <w:tc>
          <w:tcPr>
            <w:tcW w:w="5652" w:type="dxa"/>
            <w:vAlign w:val="center"/>
          </w:tcPr>
          <w:p>
            <w:pPr>
              <w:keepNext w:val="0"/>
              <w:keepLines w:val="0"/>
              <w:widowControl/>
              <w:suppressLineNumbers w:val="0"/>
              <w:jc w:val="left"/>
              <w:rPr>
                <w:rFonts w:hint="default" w:eastAsia="宋体"/>
                <w:sz w:val="21"/>
                <w:szCs w:val="21"/>
                <w:vertAlign w:val="baseline"/>
                <w:lang w:val="en-US" w:eastAsia="zh-CN"/>
              </w:rPr>
            </w:pPr>
            <w:r>
              <w:rPr>
                <w:rFonts w:hint="eastAsia" w:ascii="Times New Roman" w:hAnsi="Times New Roman" w:eastAsia="宋体" w:cs="Times New Roman"/>
                <w:kern w:val="2"/>
                <w:sz w:val="21"/>
                <w:szCs w:val="21"/>
                <w:vertAlign w:val="baseline"/>
                <w:lang w:val="en-US" w:eastAsia="zh-CN" w:bidi="ar-SA"/>
              </w:rPr>
              <w:t>对本企业法律纠纷案件建立管理台</w:t>
            </w:r>
            <w:r>
              <w:rPr>
                <w:rFonts w:hint="default" w:ascii="Times New Roman" w:hAnsi="Times New Roman" w:eastAsia="宋体" w:cs="Times New Roman"/>
                <w:kern w:val="2"/>
                <w:sz w:val="21"/>
                <w:szCs w:val="21"/>
                <w:vertAlign w:val="baseline"/>
                <w:lang w:val="en-US" w:eastAsia="zh-CN" w:bidi="ar-SA"/>
              </w:rPr>
              <w:t>账，并按集团要求在每季度次月3日之前报送案件动态季度报表</w:t>
            </w:r>
          </w:p>
        </w:tc>
        <w:tc>
          <w:tcPr>
            <w:tcW w:w="1820"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审计法务部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案件进展管理</w:t>
            </w:r>
          </w:p>
        </w:tc>
        <w:tc>
          <w:tcPr>
            <w:tcW w:w="5652"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由法治合规岗对案件的各个阶段的信息进行登记管理，包括过程文档资料</w:t>
            </w:r>
          </w:p>
        </w:tc>
        <w:tc>
          <w:tcPr>
            <w:tcW w:w="1820"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审计法务部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案件完结归档</w:t>
            </w:r>
          </w:p>
        </w:tc>
        <w:tc>
          <w:tcPr>
            <w:tcW w:w="5652"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案件在执行结案后，由审计法务部法治合规岗对案件进行完结归档，上传案件所有过程资料</w:t>
            </w:r>
          </w:p>
        </w:tc>
        <w:tc>
          <w:tcPr>
            <w:tcW w:w="1820"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审计法务部</w:t>
            </w:r>
          </w:p>
        </w:tc>
      </w:tr>
    </w:tbl>
    <w:p>
      <w:pPr>
        <w:pStyle w:val="5"/>
        <w:rPr>
          <w:rFonts w:hint="eastAsia"/>
          <w:lang w:val="en-US" w:eastAsia="zh-CN"/>
        </w:rPr>
      </w:pPr>
    </w:p>
    <w:p>
      <w:pPr>
        <w:pStyle w:val="8"/>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流程图</w:t>
      </w:r>
    </w:p>
    <w:p>
      <w:pPr>
        <w:pStyle w:val="5"/>
        <w:ind w:left="0" w:leftChars="0" w:firstLine="420" w:firstLineChars="0"/>
        <w:rPr>
          <w:rFonts w:hint="default"/>
          <w:sz w:val="24"/>
          <w:szCs w:val="24"/>
          <w:lang w:val="en-US" w:eastAsia="zh-CN"/>
        </w:rPr>
      </w:pPr>
      <w:r>
        <w:rPr>
          <w:rFonts w:hint="eastAsia"/>
          <w:sz w:val="24"/>
          <w:szCs w:val="24"/>
          <w:lang w:val="en-US" w:eastAsia="zh-CN"/>
        </w:rPr>
        <w:t>无流程图。</w:t>
      </w:r>
    </w:p>
    <w:p>
      <w:pPr>
        <w:pStyle w:val="8"/>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用户业务需求</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72" w:type="dxa"/>
          <w:bottom w:w="0" w:type="dxa"/>
          <w:right w:w="72" w:type="dxa"/>
        </w:tblCellMar>
      </w:tblPr>
      <w:tblGrid>
        <w:gridCol w:w="1292"/>
        <w:gridCol w:w="7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rPr>
          <w:tblHeader/>
        </w:trPr>
        <w:tc>
          <w:tcPr>
            <w:tcW w:w="723" w:type="pct"/>
            <w:shd w:val="clear" w:color="auto" w:fill="EAEAEA"/>
          </w:tcPr>
          <w:p>
            <w:pPr>
              <w:pStyle w:val="9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需求编号</w:t>
            </w:r>
          </w:p>
        </w:tc>
        <w:tc>
          <w:tcPr>
            <w:tcW w:w="4276" w:type="pct"/>
            <w:shd w:val="clear" w:color="auto" w:fill="EAEAEA"/>
          </w:tcPr>
          <w:p>
            <w:pPr>
              <w:pStyle w:val="9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需求详细描述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rPr>
          <w:trHeight w:val="60" w:hRule="exact"/>
        </w:trPr>
        <w:tc>
          <w:tcPr>
            <w:tcW w:w="723" w:type="pct"/>
            <w:shd w:val="pct50" w:color="auto" w:fill="auto"/>
          </w:tcPr>
          <w:p>
            <w:pPr>
              <w:pStyle w:val="93"/>
              <w:rPr>
                <w:rFonts w:asciiTheme="minorEastAsia" w:hAnsiTheme="minorEastAsia" w:eastAsiaTheme="minorEastAsia"/>
                <w:color w:val="000000"/>
                <w:sz w:val="21"/>
                <w:szCs w:val="21"/>
              </w:rPr>
            </w:pPr>
          </w:p>
        </w:tc>
        <w:tc>
          <w:tcPr>
            <w:tcW w:w="4276" w:type="pct"/>
            <w:shd w:val="pct50" w:color="auto" w:fill="auto"/>
          </w:tcPr>
          <w:p>
            <w:pPr>
              <w:pStyle w:val="93"/>
              <w:rPr>
                <w:rFonts w:asciiTheme="minorEastAsia" w:hAnsiTheme="minorEastAsia" w:eastAsiaTheme="min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c>
          <w:tcPr>
            <w:tcW w:w="723" w:type="pct"/>
            <w:vAlign w:val="center"/>
          </w:tcPr>
          <w:p>
            <w:pPr>
              <w:pStyle w:val="93"/>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1</w:t>
            </w:r>
          </w:p>
        </w:tc>
        <w:tc>
          <w:tcPr>
            <w:tcW w:w="4276" w:type="pct"/>
            <w:vAlign w:val="center"/>
          </w:tcPr>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textAlignment w:val="baseline"/>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sz w:val="21"/>
                <w:szCs w:val="21"/>
                <w:lang w:val="en-US" w:eastAsia="zh-CN"/>
              </w:rPr>
              <w:t>实现案件纠纷台账跟踪管理，支持记录案件登记、案件进展、案件执行、案件结案归档信息，实现案件闭环管理；支持建立案件纠纷台账、案件纠纷登记、案件纠纷办理记录。将案件纠纷处理等成果沉淀、分享，建立案件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c>
          <w:tcPr>
            <w:tcW w:w="723" w:type="pct"/>
            <w:vAlign w:val="center"/>
          </w:tcPr>
          <w:p>
            <w:pPr>
              <w:pStyle w:val="93"/>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2</w:t>
            </w:r>
          </w:p>
        </w:tc>
        <w:tc>
          <w:tcPr>
            <w:tcW w:w="4276" w:type="pct"/>
            <w:vAlign w:val="center"/>
          </w:tcPr>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textAlignment w:val="baseline"/>
              <w:rPr>
                <w:rFonts w:asciiTheme="minorEastAsia" w:hAnsiTheme="minorEastAsia" w:eastAsiaTheme="minorEastAsia"/>
                <w:color w:val="000000"/>
                <w:sz w:val="21"/>
                <w:szCs w:val="21"/>
              </w:rPr>
            </w:pPr>
            <w:r>
              <w:rPr>
                <w:rFonts w:hint="eastAsia" w:asciiTheme="minorEastAsia" w:hAnsiTheme="minorEastAsia" w:eastAsiaTheme="minorEastAsia"/>
                <w:sz w:val="21"/>
                <w:szCs w:val="21"/>
              </w:rPr>
              <w:t>实现</w:t>
            </w:r>
            <w:r>
              <w:rPr>
                <w:rFonts w:hint="eastAsia" w:asciiTheme="minorEastAsia" w:hAnsiTheme="minorEastAsia" w:eastAsiaTheme="minorEastAsia"/>
                <w:sz w:val="21"/>
                <w:szCs w:val="21"/>
                <w:lang w:val="en-US" w:eastAsia="zh-CN"/>
              </w:rPr>
              <w:t>合规管理，由审计法务部牵头，各业务部门、职能部门配合各类常规、专项检查，支持合规履职标准配置管理和合规履职评价打分管理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c>
          <w:tcPr>
            <w:tcW w:w="723" w:type="pct"/>
            <w:vAlign w:val="center"/>
          </w:tcPr>
          <w:p>
            <w:pPr>
              <w:pStyle w:val="93"/>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3</w:t>
            </w:r>
          </w:p>
        </w:tc>
        <w:tc>
          <w:tcPr>
            <w:tcW w:w="4276" w:type="pct"/>
            <w:vAlign w:val="center"/>
          </w:tcPr>
          <w:p>
            <w:pPr>
              <w:pStyle w:val="93"/>
              <w:rPr>
                <w:rFonts w:hint="default" w:asciiTheme="minorEastAsia" w:hAnsiTheme="minorEastAsia" w:eastAsiaTheme="minorEastAsia"/>
                <w:color w:val="000000"/>
                <w:sz w:val="21"/>
                <w:szCs w:val="21"/>
                <w:lang w:val="en-US"/>
              </w:rPr>
            </w:pPr>
            <w:r>
              <w:rPr>
                <w:rFonts w:hint="eastAsia" w:asciiTheme="minorEastAsia" w:hAnsiTheme="minorEastAsia" w:eastAsiaTheme="minorEastAsia"/>
                <w:sz w:val="21"/>
                <w:szCs w:val="21"/>
                <w:lang w:val="en-US" w:eastAsia="zh-CN"/>
              </w:rPr>
              <w:t>实现法务知识库管理，搭建集团统一法务知识库，包含合规库和合同库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c>
          <w:tcPr>
            <w:tcW w:w="723" w:type="pct"/>
            <w:vAlign w:val="center"/>
          </w:tcPr>
          <w:p>
            <w:pPr>
              <w:pStyle w:val="93"/>
              <w:jc w:val="center"/>
              <w:rPr>
                <w:rFonts w:hint="eastAsia"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4</w:t>
            </w:r>
          </w:p>
        </w:tc>
        <w:tc>
          <w:tcPr>
            <w:tcW w:w="4276" w:type="pct"/>
            <w:vAlign w:val="center"/>
          </w:tcPr>
          <w:p>
            <w:pPr>
              <w:pStyle w:val="93"/>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实现总法律顾问履职档案管理</w:t>
            </w:r>
          </w:p>
        </w:tc>
      </w:tr>
    </w:tbl>
    <w:p>
      <w:pPr>
        <w:pStyle w:val="5"/>
        <w:rPr>
          <w:rFonts w:hint="eastAsia"/>
          <w:lang w:val="en-US" w:eastAsia="zh-CN"/>
        </w:rPr>
      </w:pPr>
    </w:p>
    <w:p>
      <w:pPr>
        <w:pStyle w:val="6"/>
        <w:rPr>
          <w:rFonts w:hint="eastAsia" w:cs="Times New Roman" w:asciiTheme="minorEastAsia" w:hAnsiTheme="minorEastAsia" w:eastAsiaTheme="minorEastAsia"/>
          <w:b/>
          <w:bCs/>
          <w:kern w:val="2"/>
          <w:sz w:val="24"/>
          <w:szCs w:val="24"/>
          <w:lang w:val="en-US" w:eastAsia="zh-CN" w:bidi="ar-SA"/>
        </w:rPr>
      </w:pPr>
      <w:bookmarkStart w:id="37" w:name="_Toc25894"/>
      <w:r>
        <w:rPr>
          <w:rFonts w:hint="eastAsia" w:cs="Times New Roman" w:asciiTheme="minorEastAsia" w:hAnsiTheme="minorEastAsia" w:eastAsiaTheme="minorEastAsia"/>
          <w:b/>
          <w:bCs/>
          <w:kern w:val="2"/>
          <w:sz w:val="24"/>
          <w:szCs w:val="24"/>
          <w:lang w:val="en-US" w:eastAsia="zh-CN" w:bidi="ar-SA"/>
        </w:rPr>
        <w:t>监事会监督管理</w:t>
      </w:r>
      <w:bookmarkEnd w:id="37"/>
    </w:p>
    <w:p>
      <w:pPr>
        <w:pStyle w:val="7"/>
      </w:pPr>
      <w:bookmarkStart w:id="38" w:name="_Toc19577"/>
      <w:r>
        <w:rPr>
          <w:rFonts w:hint="eastAsia"/>
          <w:lang w:val="en-US" w:eastAsia="zh-CN"/>
        </w:rPr>
        <w:t>业务状况</w:t>
      </w:r>
      <w:bookmarkEnd w:id="38"/>
    </w:p>
    <w:p>
      <w:pPr>
        <w:pStyle w:val="5"/>
        <w:keepNext/>
        <w:keepLines w:val="0"/>
        <w:pageBreakBefore w:val="0"/>
        <w:widowControl w:val="0"/>
        <w:kinsoku/>
        <w:wordWrap/>
        <w:overflowPunct/>
        <w:topLinePunct w:val="0"/>
        <w:autoSpaceDE/>
        <w:autoSpaceDN/>
        <w:bidi w:val="0"/>
        <w:adjustRightInd/>
        <w:snapToGrid w:val="0"/>
        <w:textAlignment w:val="auto"/>
        <w:rPr>
          <w:rFonts w:hint="default" w:eastAsia="宋体"/>
          <w:sz w:val="24"/>
          <w:szCs w:val="24"/>
          <w:lang w:val="en-US" w:eastAsia="zh-CN"/>
        </w:rPr>
      </w:pPr>
      <w:r>
        <w:rPr>
          <w:rFonts w:hint="eastAsia"/>
          <w:sz w:val="24"/>
          <w:szCs w:val="24"/>
          <w:lang w:val="en-US" w:eastAsia="zh-CN"/>
        </w:rPr>
        <w:t>监事会监督管理分为年度集中监督检查和专项监督检查两类，年度集中监督检查是在日常监督基础上，按照确定检查重点、编制检查方案、收集检查证据、形成工作底稿、利用审计结果、充分交换意见的程序有步骤地开展工作。专项监督检查是由上级单位重庆交开投集团指定的年度专项检查或监事会根据监督检查需要确定的专项监督检查，主要是监事会对铁路集团公司及其下属单位对外投资、担保、捐赠、资金拆解、资产处置、产权变动、投资收益、业绩考核、薪酬分配、高风险业务等重大事项进行的监督检查。</w:t>
      </w:r>
    </w:p>
    <w:p>
      <w:pPr>
        <w:pStyle w:val="7"/>
        <w:rPr>
          <w:rFonts w:hint="eastAsia" w:ascii="Times New Roman" w:hAnsi="Times New Roman" w:eastAsia="宋体" w:cs="Times New Roman"/>
          <w:b/>
          <w:bCs/>
          <w:kern w:val="2"/>
          <w:sz w:val="24"/>
          <w:szCs w:val="24"/>
          <w:lang w:val="en-US" w:eastAsia="zh-CN" w:bidi="ar-SA"/>
        </w:rPr>
      </w:pPr>
      <w:bookmarkStart w:id="39" w:name="_Toc26729"/>
      <w:r>
        <w:rPr>
          <w:rFonts w:hint="eastAsia" w:cs="Times New Roman"/>
          <w:b/>
          <w:bCs/>
          <w:kern w:val="2"/>
          <w:sz w:val="24"/>
          <w:szCs w:val="24"/>
          <w:lang w:val="en-US" w:eastAsia="zh-CN" w:bidi="ar-SA"/>
        </w:rPr>
        <w:t>业务基本需求</w:t>
      </w:r>
      <w:bookmarkEnd w:id="39"/>
    </w:p>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20" w:firstLineChars="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1.实现集中监督检查管理，从集中监督检查的检查方案的编制、检查证据的收集、形成工作底稿、以及最终形成的年度集中检查报告的全流程管理。</w:t>
      </w:r>
    </w:p>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20" w:firstLineChars="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实现</w:t>
      </w:r>
      <w:r>
        <w:rPr>
          <w:rFonts w:hint="eastAsia" w:asciiTheme="minorEastAsia" w:hAnsiTheme="minorEastAsia" w:eastAsiaTheme="minorEastAsia"/>
          <w:sz w:val="24"/>
          <w:szCs w:val="24"/>
          <w:lang w:val="en-US" w:eastAsia="zh-CN"/>
        </w:rPr>
        <w:t>专项监督检查管理，从专项监督检查的准备阶段、实施阶段、处理阶段的全流程管理。</w:t>
      </w:r>
    </w:p>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20" w:firstLineChars="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3.实现专报管理，由铁路集团监事会将专报上报给重庆交通开投集团，主要包含基本情况、存在问题及风险、下一步工作建议等信息。</w:t>
      </w:r>
    </w:p>
    <w:p>
      <w:pPr>
        <w:pStyle w:val="92"/>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420" w:firstLineChars="0"/>
        <w:textAlignment w:val="baseline"/>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4.实现监事会监督资料库管理，将监事会监督相关资料文档统一纳管，能快速检索、更新。</w:t>
      </w:r>
    </w:p>
    <w:p>
      <w:pPr>
        <w:pStyle w:val="7"/>
        <w:rPr>
          <w:rFonts w:hint="eastAsia" w:ascii="Times New Roman" w:hAnsi="Times New Roman" w:eastAsia="宋体" w:cs="Times New Roman"/>
          <w:b/>
          <w:bCs/>
          <w:kern w:val="2"/>
          <w:sz w:val="24"/>
          <w:szCs w:val="24"/>
          <w:lang w:val="en-US" w:eastAsia="zh-CN" w:bidi="ar-SA"/>
        </w:rPr>
      </w:pPr>
      <w:bookmarkStart w:id="40" w:name="_Toc16084"/>
      <w:r>
        <w:rPr>
          <w:rFonts w:hint="eastAsia" w:cs="Times New Roman"/>
          <w:b/>
          <w:bCs/>
          <w:kern w:val="2"/>
          <w:sz w:val="24"/>
          <w:szCs w:val="24"/>
          <w:lang w:val="en-US" w:eastAsia="zh-CN" w:bidi="ar-SA"/>
        </w:rPr>
        <w:t>详细需求说明</w:t>
      </w:r>
      <w:bookmarkEnd w:id="40"/>
    </w:p>
    <w:p>
      <w:pPr>
        <w:pStyle w:val="8"/>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业务场景</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2"/>
        <w:gridCol w:w="5652"/>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shd w:val="clear" w:color="auto" w:fill="D7D7D7" w:themeFill="background1" w:themeFillShade="D8"/>
            <w:vAlign w:val="center"/>
          </w:tcPr>
          <w:p>
            <w:pPr>
              <w:pStyle w:val="5"/>
              <w:ind w:left="0" w:leftChars="0" w:firstLine="0" w:firstLineChars="0"/>
              <w:rPr>
                <w:rFonts w:hint="eastAsia" w:eastAsia="宋体"/>
                <w:b/>
                <w:bCs/>
                <w:sz w:val="21"/>
                <w:szCs w:val="21"/>
                <w:vertAlign w:val="baseline"/>
                <w:lang w:val="en-US" w:eastAsia="zh-CN"/>
              </w:rPr>
            </w:pPr>
            <w:r>
              <w:rPr>
                <w:rFonts w:hint="eastAsia"/>
                <w:b/>
                <w:bCs/>
                <w:sz w:val="21"/>
                <w:szCs w:val="21"/>
                <w:vertAlign w:val="baseline"/>
                <w:lang w:val="en-US" w:eastAsia="zh-CN"/>
              </w:rPr>
              <w:t>阶段</w:t>
            </w:r>
          </w:p>
        </w:tc>
        <w:tc>
          <w:tcPr>
            <w:tcW w:w="5652" w:type="dxa"/>
            <w:shd w:val="clear" w:color="auto" w:fill="D7D7D7" w:themeFill="background1" w:themeFillShade="D8"/>
            <w:vAlign w:val="center"/>
          </w:tcPr>
          <w:p>
            <w:pPr>
              <w:pStyle w:val="5"/>
              <w:ind w:left="0" w:leftChars="0" w:firstLine="0" w:firstLineChars="0"/>
              <w:rPr>
                <w:rFonts w:hint="eastAsia" w:eastAsia="宋体"/>
                <w:b/>
                <w:bCs/>
                <w:sz w:val="21"/>
                <w:szCs w:val="21"/>
                <w:vertAlign w:val="baseline"/>
                <w:lang w:val="en-US" w:eastAsia="zh-CN"/>
              </w:rPr>
            </w:pPr>
            <w:r>
              <w:rPr>
                <w:rFonts w:hint="eastAsia"/>
                <w:b/>
                <w:bCs/>
                <w:sz w:val="21"/>
                <w:szCs w:val="21"/>
                <w:vertAlign w:val="baseline"/>
                <w:lang w:val="en-US" w:eastAsia="zh-CN"/>
              </w:rPr>
              <w:t>场景</w:t>
            </w:r>
          </w:p>
        </w:tc>
        <w:tc>
          <w:tcPr>
            <w:tcW w:w="1820" w:type="dxa"/>
            <w:shd w:val="clear" w:color="auto" w:fill="D7D7D7" w:themeFill="background1" w:themeFillShade="D8"/>
            <w:vAlign w:val="center"/>
          </w:tcPr>
          <w:p>
            <w:pPr>
              <w:pStyle w:val="5"/>
              <w:ind w:left="0" w:leftChars="0" w:firstLine="0" w:firstLineChars="0"/>
              <w:rPr>
                <w:rFonts w:hint="default" w:eastAsia="宋体"/>
                <w:b/>
                <w:bCs/>
                <w:sz w:val="21"/>
                <w:szCs w:val="21"/>
                <w:vertAlign w:val="baseline"/>
                <w:lang w:val="en-US" w:eastAsia="zh-CN"/>
              </w:rPr>
            </w:pPr>
            <w:r>
              <w:rPr>
                <w:rFonts w:hint="eastAsia"/>
                <w:b/>
                <w:bCs/>
                <w:sz w:val="21"/>
                <w:szCs w:val="21"/>
                <w:vertAlign w:val="baseline"/>
                <w:lang w:val="en-US" w:eastAsia="zh-CN"/>
              </w:rPr>
              <w:t>部门/用户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集中监督检查</w:t>
            </w:r>
          </w:p>
        </w:tc>
        <w:tc>
          <w:tcPr>
            <w:tcW w:w="5652"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监事会年度集中监督检查工作应当在日常监督基础上，按照确定检查重点、编制检查方案、收集检查证据、形成工作底稿、利用审计结果、充分交换意见的程序有步骤地开展工作。</w:t>
            </w:r>
          </w:p>
        </w:tc>
        <w:tc>
          <w:tcPr>
            <w:tcW w:w="1820"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监事会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专项监督检查准备阶段</w:t>
            </w:r>
          </w:p>
        </w:tc>
        <w:tc>
          <w:tcPr>
            <w:tcW w:w="5652" w:type="dxa"/>
            <w:vAlign w:val="center"/>
          </w:tcPr>
          <w:p>
            <w:pPr>
              <w:pStyle w:val="5"/>
              <w:ind w:left="0" w:leftChars="0" w:firstLine="0" w:firstLineChars="0"/>
              <w:rPr>
                <w:rFonts w:hint="eastAsia" w:eastAsia="宋体"/>
                <w:sz w:val="21"/>
                <w:szCs w:val="21"/>
                <w:vertAlign w:val="baseline"/>
                <w:lang w:val="en-US" w:eastAsia="zh-CN"/>
              </w:rPr>
            </w:pPr>
            <w:r>
              <w:rPr>
                <w:rFonts w:hint="eastAsia"/>
                <w:sz w:val="21"/>
                <w:szCs w:val="21"/>
              </w:rPr>
              <w:t>结合监事会年度工作计划和日常监督检查情况，确定具体的检查范围和对象，制订检查工作方案</w:t>
            </w:r>
            <w:r>
              <w:rPr>
                <w:rFonts w:hint="eastAsia"/>
                <w:sz w:val="21"/>
                <w:szCs w:val="21"/>
                <w:lang w:eastAsia="zh-CN"/>
              </w:rPr>
              <w:t>。</w:t>
            </w:r>
          </w:p>
        </w:tc>
        <w:tc>
          <w:tcPr>
            <w:tcW w:w="1820"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监事会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eastAsia"/>
                <w:sz w:val="21"/>
                <w:szCs w:val="21"/>
                <w:vertAlign w:val="baseline"/>
                <w:lang w:val="en-US" w:eastAsia="zh-CN"/>
              </w:rPr>
            </w:pPr>
            <w:r>
              <w:rPr>
                <w:rFonts w:hint="eastAsia"/>
                <w:sz w:val="21"/>
                <w:szCs w:val="21"/>
                <w:vertAlign w:val="baseline"/>
                <w:lang w:val="en-US" w:eastAsia="zh-CN"/>
              </w:rPr>
              <w:t>专项监督检查实施阶段</w:t>
            </w:r>
          </w:p>
        </w:tc>
        <w:tc>
          <w:tcPr>
            <w:tcW w:w="5652" w:type="dxa"/>
            <w:vAlign w:val="center"/>
          </w:tcPr>
          <w:p>
            <w:pPr>
              <w:pStyle w:val="5"/>
              <w:ind w:left="0" w:leftChars="0" w:firstLine="0" w:firstLineChars="0"/>
              <w:rPr>
                <w:rFonts w:hint="eastAsia"/>
                <w:sz w:val="21"/>
                <w:szCs w:val="21"/>
              </w:rPr>
            </w:pPr>
            <w:r>
              <w:rPr>
                <w:rFonts w:hint="eastAsia"/>
                <w:sz w:val="21"/>
                <w:szCs w:val="21"/>
              </w:rPr>
              <w:t>监事会在实施检查前应当以书面形式通知检查对象，根据需要可以召开会议，提出本次检查工作要求，说明有关检查事项，听取检查对象有关财务活动、经营管理情况、负责人履职行为及其法律法规执行情况、重大事项等情况的汇报</w:t>
            </w:r>
          </w:p>
        </w:tc>
        <w:tc>
          <w:tcPr>
            <w:tcW w:w="1820"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监事会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dxa"/>
            <w:vAlign w:val="center"/>
          </w:tcPr>
          <w:p>
            <w:pPr>
              <w:pStyle w:val="5"/>
              <w:ind w:left="0" w:leftChars="0" w:firstLine="0" w:firstLineChars="0"/>
              <w:rPr>
                <w:rFonts w:hint="eastAsia"/>
                <w:sz w:val="21"/>
                <w:szCs w:val="21"/>
                <w:vertAlign w:val="baseline"/>
                <w:lang w:val="en-US" w:eastAsia="zh-CN"/>
              </w:rPr>
            </w:pPr>
            <w:r>
              <w:rPr>
                <w:rFonts w:hint="eastAsia"/>
                <w:sz w:val="21"/>
                <w:szCs w:val="21"/>
                <w:vertAlign w:val="baseline"/>
                <w:lang w:val="en-US" w:eastAsia="zh-CN"/>
              </w:rPr>
              <w:t>专项监督检查处理阶段</w:t>
            </w:r>
          </w:p>
        </w:tc>
        <w:tc>
          <w:tcPr>
            <w:tcW w:w="5652" w:type="dxa"/>
            <w:vAlign w:val="center"/>
          </w:tcPr>
          <w:p>
            <w:pPr>
              <w:pStyle w:val="5"/>
              <w:ind w:left="0" w:leftChars="0" w:firstLine="0" w:firstLineChars="0"/>
              <w:rPr>
                <w:rFonts w:hint="eastAsia"/>
                <w:sz w:val="21"/>
                <w:szCs w:val="21"/>
              </w:rPr>
            </w:pPr>
            <w:r>
              <w:rPr>
                <w:rFonts w:hint="eastAsia"/>
                <w:sz w:val="21"/>
                <w:szCs w:val="21"/>
              </w:rPr>
              <w:t>检查实施工作结束后，监事会根据检查工作底稿，</w:t>
            </w:r>
            <w:r>
              <w:rPr>
                <w:rFonts w:hint="eastAsia"/>
                <w:sz w:val="21"/>
                <w:szCs w:val="21"/>
                <w:lang w:val="en-US" w:eastAsia="zh-CN"/>
              </w:rPr>
              <w:t>编写</w:t>
            </w:r>
            <w:r>
              <w:rPr>
                <w:rFonts w:hint="eastAsia"/>
                <w:sz w:val="21"/>
                <w:szCs w:val="21"/>
              </w:rPr>
              <w:t>专项监督检查报告，监督检查专项报告经监事会会议讨论，形成监事会决议，并按规定时间上报重庆交通开投集团。监事会根据重庆交通开投集团对检查报告的处理意见，及时与检查对象交换意见，针对监督检查中发现的、需要企业自行纠正和改进的问题，督促检查对象进行落实和整改。对无故拖延或整改不力的，及时向重庆交通开投集团报告</w:t>
            </w:r>
          </w:p>
        </w:tc>
        <w:tc>
          <w:tcPr>
            <w:tcW w:w="1820" w:type="dxa"/>
            <w:vAlign w:val="center"/>
          </w:tcPr>
          <w:p>
            <w:pPr>
              <w:pStyle w:val="5"/>
              <w:ind w:left="0" w:leftChars="0" w:firstLine="0" w:firstLineChars="0"/>
              <w:rPr>
                <w:rFonts w:hint="default" w:eastAsia="宋体"/>
                <w:sz w:val="21"/>
                <w:szCs w:val="21"/>
                <w:vertAlign w:val="baseline"/>
                <w:lang w:val="en-US" w:eastAsia="zh-CN"/>
              </w:rPr>
            </w:pPr>
            <w:r>
              <w:rPr>
                <w:rFonts w:hint="eastAsia"/>
                <w:sz w:val="21"/>
                <w:szCs w:val="21"/>
                <w:vertAlign w:val="baseline"/>
                <w:lang w:val="en-US" w:eastAsia="zh-CN"/>
              </w:rPr>
              <w:t>监事会</w:t>
            </w:r>
          </w:p>
        </w:tc>
      </w:tr>
    </w:tbl>
    <w:p>
      <w:pPr>
        <w:pStyle w:val="8"/>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流程图</w:t>
      </w:r>
    </w:p>
    <w:p>
      <w:pPr>
        <w:pStyle w:val="5"/>
        <w:numPr>
          <w:ilvl w:val="0"/>
          <w:numId w:val="8"/>
        </w:numPr>
        <w:rPr>
          <w:rFonts w:hint="eastAsia" w:cs="Times New Roman"/>
          <w:b/>
          <w:bCs/>
          <w:kern w:val="2"/>
          <w:sz w:val="24"/>
          <w:szCs w:val="24"/>
          <w:lang w:val="en-US" w:eastAsia="zh-CN" w:bidi="ar-SA"/>
        </w:rPr>
      </w:pPr>
      <w:r>
        <w:rPr>
          <w:rFonts w:hint="eastAsia" w:cs="Times New Roman"/>
          <w:b/>
          <w:bCs/>
          <w:kern w:val="2"/>
          <w:sz w:val="24"/>
          <w:szCs w:val="24"/>
          <w:lang w:val="en-US" w:eastAsia="zh-CN" w:bidi="ar-SA"/>
        </w:rPr>
        <w:t>监事会监督流程</w:t>
      </w:r>
    </w:p>
    <w:p>
      <w:pPr>
        <w:pStyle w:val="5"/>
        <w:numPr>
          <w:ilvl w:val="0"/>
          <w:numId w:val="0"/>
        </w:numPr>
        <w:rPr>
          <w:rFonts w:hint="eastAsia" w:cs="Times New Roman"/>
          <w:b/>
          <w:bCs/>
          <w:kern w:val="2"/>
          <w:sz w:val="24"/>
          <w:szCs w:val="24"/>
          <w:lang w:val="en-US" w:eastAsia="zh-CN" w:bidi="ar-SA"/>
        </w:rPr>
      </w:pPr>
      <w:r>
        <w:rPr>
          <w:rFonts w:ascii="宋体" w:hAnsi="宋体" w:eastAsia="宋体" w:cs="宋体"/>
          <w:sz w:val="24"/>
          <w:szCs w:val="24"/>
        </w:rPr>
        <w:drawing>
          <wp:inline distT="0" distB="0" distL="114300" distR="114300">
            <wp:extent cx="5605145" cy="9443720"/>
            <wp:effectExtent l="0" t="0" r="0" b="0"/>
            <wp:docPr id="6"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6"/>
                    <pic:cNvPicPr>
                      <a:picLocks noChangeAspect="1"/>
                    </pic:cNvPicPr>
                  </pic:nvPicPr>
                  <pic:blipFill>
                    <a:blip r:embed="rId18"/>
                    <a:stretch>
                      <a:fillRect/>
                    </a:stretch>
                  </pic:blipFill>
                  <pic:spPr>
                    <a:xfrm>
                      <a:off x="0" y="0"/>
                      <a:ext cx="5605145" cy="9443720"/>
                    </a:xfrm>
                    <a:prstGeom prst="rect">
                      <a:avLst/>
                    </a:prstGeom>
                    <a:noFill/>
                    <a:ln w="9525">
                      <a:noFill/>
                    </a:ln>
                  </pic:spPr>
                </pic:pic>
              </a:graphicData>
            </a:graphic>
          </wp:inline>
        </w:drawing>
      </w:r>
    </w:p>
    <w:p>
      <w:pPr>
        <w:pStyle w:val="5"/>
        <w:numPr>
          <w:ilvl w:val="0"/>
          <w:numId w:val="0"/>
        </w:numPr>
        <w:rPr>
          <w:rFonts w:hint="default" w:cs="Times New Roman"/>
          <w:b/>
          <w:bCs/>
          <w:kern w:val="2"/>
          <w:sz w:val="24"/>
          <w:szCs w:val="24"/>
          <w:lang w:val="en-US" w:eastAsia="zh-CN" w:bidi="ar-SA"/>
        </w:rPr>
      </w:pPr>
      <w:r>
        <w:rPr>
          <w:rFonts w:hint="eastAsia" w:cs="Times New Roman"/>
          <w:b/>
          <w:bCs/>
          <w:kern w:val="2"/>
          <w:sz w:val="24"/>
          <w:szCs w:val="24"/>
          <w:lang w:val="en-US" w:eastAsia="zh-CN" w:bidi="ar-SA"/>
        </w:rPr>
        <w:t>流程说明：</w:t>
      </w:r>
    </w:p>
    <w:tbl>
      <w:tblPr>
        <w:tblStyle w:val="33"/>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72" w:type="dxa"/>
          <w:bottom w:w="0" w:type="dxa"/>
          <w:right w:w="72" w:type="dxa"/>
        </w:tblCellMar>
      </w:tblPr>
      <w:tblGrid>
        <w:gridCol w:w="1118"/>
        <w:gridCol w:w="1283"/>
        <w:gridCol w:w="1792"/>
        <w:gridCol w:w="1686"/>
        <w:gridCol w:w="775"/>
        <w:gridCol w:w="1066"/>
        <w:gridCol w:w="121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12" w:space="0"/>
              <w:left w:val="single" w:color="auto" w:sz="12" w:space="0"/>
              <w:bottom w:val="single" w:color="auto" w:sz="8" w:space="0"/>
              <w:right w:val="single" w:color="auto" w:sz="12" w:space="0"/>
            </w:tcBorders>
            <w:shd w:val="clear" w:color="auto" w:fill="EAEAEA"/>
            <w:vAlign w:val="center"/>
          </w:tcPr>
          <w:p>
            <w:pPr>
              <w:pStyle w:val="94"/>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rPr>
              <w:t>流程编号：</w:t>
            </w:r>
            <w:r>
              <w:rPr>
                <w:rFonts w:hint="eastAsia" w:asciiTheme="minorEastAsia" w:hAnsiTheme="minorEastAsia" w:eastAsiaTheme="minorEastAsia"/>
                <w:color w:val="000000"/>
                <w:sz w:val="21"/>
                <w:szCs w:val="21"/>
                <w:lang w:val="en-US" w:eastAsia="zh-CN"/>
              </w:rPr>
              <w:t>FP_SB_001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8" w:space="0"/>
              <w:right w:val="single" w:color="auto" w:sz="12" w:space="0"/>
            </w:tcBorders>
            <w:shd w:val="clear" w:color="auto" w:fill="EAEAEA"/>
            <w:vAlign w:val="center"/>
          </w:tcPr>
          <w:p>
            <w:pPr>
              <w:pStyle w:val="94"/>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rPr>
              <w:t>流程名称：</w:t>
            </w:r>
            <w:r>
              <w:rPr>
                <w:rFonts w:hint="eastAsia" w:asciiTheme="minorEastAsia" w:hAnsiTheme="minorEastAsia" w:eastAsiaTheme="minorEastAsia"/>
                <w:color w:val="000000"/>
                <w:sz w:val="21"/>
                <w:szCs w:val="21"/>
                <w:lang w:val="en-US" w:eastAsia="zh-CN"/>
              </w:rPr>
              <w:t>监事会监督流程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5000" w:type="pct"/>
            <w:gridSpan w:val="7"/>
            <w:tcBorders>
              <w:top w:val="single" w:color="auto" w:sz="8" w:space="0"/>
              <w:left w:val="single" w:color="auto" w:sz="12" w:space="0"/>
              <w:bottom w:val="single" w:color="auto" w:sz="12" w:space="0"/>
              <w:right w:val="single" w:color="auto" w:sz="12" w:space="0"/>
            </w:tcBorders>
            <w:shd w:val="clear" w:color="auto" w:fill="EAEAEA"/>
            <w:vAlign w:val="center"/>
          </w:tcPr>
          <w:p>
            <w:pPr>
              <w:pStyle w:val="94"/>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rPr>
              <w:t>流程版本：</w:t>
            </w:r>
            <w:r>
              <w:rPr>
                <w:rFonts w:hint="eastAsia" w:asciiTheme="minorEastAsia" w:hAnsiTheme="minorEastAsia" w:eastAsiaTheme="minorEastAsia"/>
                <w:color w:val="000000"/>
                <w:sz w:val="21"/>
                <w:szCs w:val="21"/>
                <w:lang w:val="en-US" w:eastAsia="zh-CN"/>
              </w:rPr>
              <w:t>V1.0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blHeader/>
        </w:trPr>
        <w:tc>
          <w:tcPr>
            <w:tcW w:w="631" w:type="pct"/>
            <w:tcBorders>
              <w:top w:val="single" w:color="auto" w:sz="12" w:space="0"/>
              <w:left w:val="single" w:color="auto" w:sz="12" w:space="0"/>
              <w:bottom w:val="single" w:color="auto" w:sz="6" w:space="0"/>
              <w:right w:val="single" w:color="auto" w:sz="6"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步骤编号</w:t>
            </w:r>
          </w:p>
        </w:tc>
        <w:tc>
          <w:tcPr>
            <w:tcW w:w="723"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步骤名称</w:t>
            </w:r>
          </w:p>
        </w:tc>
        <w:tc>
          <w:tcPr>
            <w:tcW w:w="1008"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业务过程描述</w:t>
            </w:r>
          </w:p>
        </w:tc>
        <w:tc>
          <w:tcPr>
            <w:tcW w:w="949" w:type="pct"/>
            <w:tcBorders>
              <w:top w:val="single" w:color="auto" w:sz="12" w:space="0"/>
              <w:left w:val="single" w:color="auto" w:sz="8" w:space="0"/>
              <w:bottom w:val="single" w:color="auto" w:sz="6" w:space="0"/>
              <w:right w:val="single" w:color="auto" w:sz="6"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责任部门/岗位</w:t>
            </w:r>
          </w:p>
        </w:tc>
        <w:tc>
          <w:tcPr>
            <w:tcW w:w="405"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处理方式</w:t>
            </w:r>
          </w:p>
        </w:tc>
        <w:tc>
          <w:tcPr>
            <w:tcW w:w="601" w:type="pct"/>
            <w:tcBorders>
              <w:top w:val="single" w:color="auto" w:sz="12" w:space="0"/>
              <w:left w:val="single" w:color="auto" w:sz="6" w:space="0"/>
              <w:bottom w:val="single" w:color="auto" w:sz="6" w:space="0"/>
              <w:right w:val="single" w:color="auto" w:sz="8"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输入文档</w:t>
            </w:r>
          </w:p>
        </w:tc>
        <w:tc>
          <w:tcPr>
            <w:tcW w:w="678" w:type="pct"/>
            <w:tcBorders>
              <w:top w:val="single" w:color="auto" w:sz="12" w:space="0"/>
              <w:left w:val="single" w:color="auto" w:sz="8" w:space="0"/>
              <w:bottom w:val="single" w:color="auto" w:sz="6" w:space="0"/>
              <w:right w:val="single" w:color="auto" w:sz="12" w:space="0"/>
            </w:tcBorders>
            <w:shd w:val="clear" w:color="auto" w:fill="EAEAEA"/>
            <w:vAlign w:val="center"/>
          </w:tcPr>
          <w:p>
            <w:pPr>
              <w:pStyle w:val="94"/>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输出文档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rPr>
          <w:trHeight w:val="60" w:hRule="exact"/>
        </w:trPr>
        <w:tc>
          <w:tcPr>
            <w:tcW w:w="631" w:type="pct"/>
            <w:tcBorders>
              <w:top w:val="single" w:color="auto" w:sz="6" w:space="0"/>
              <w:left w:val="nil"/>
              <w:bottom w:val="single" w:color="auto" w:sz="6" w:space="0"/>
              <w:right w:val="single" w:color="auto" w:sz="6"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723"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1008"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949" w:type="pct"/>
            <w:tcBorders>
              <w:top w:val="single" w:color="auto" w:sz="6" w:space="0"/>
              <w:left w:val="single" w:color="auto" w:sz="8" w:space="0"/>
              <w:bottom w:val="single" w:color="auto" w:sz="6" w:space="0"/>
              <w:right w:val="single" w:color="auto" w:sz="6"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405"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601" w:type="pct"/>
            <w:tcBorders>
              <w:top w:val="single" w:color="auto" w:sz="6" w:space="0"/>
              <w:left w:val="single" w:color="auto" w:sz="6" w:space="0"/>
              <w:bottom w:val="single" w:color="auto" w:sz="6" w:space="0"/>
              <w:right w:val="single" w:color="auto" w:sz="8" w:space="0"/>
            </w:tcBorders>
            <w:shd w:val="pct50" w:color="auto" w:fill="auto"/>
            <w:vAlign w:val="center"/>
          </w:tcPr>
          <w:p>
            <w:pPr>
              <w:pStyle w:val="93"/>
              <w:jc w:val="both"/>
              <w:rPr>
                <w:rFonts w:asciiTheme="minorEastAsia" w:hAnsiTheme="minorEastAsia" w:eastAsiaTheme="minorEastAsia"/>
                <w:color w:val="000000"/>
                <w:sz w:val="21"/>
                <w:szCs w:val="21"/>
              </w:rPr>
            </w:pPr>
          </w:p>
        </w:tc>
        <w:tc>
          <w:tcPr>
            <w:tcW w:w="678" w:type="pct"/>
            <w:tcBorders>
              <w:top w:val="single" w:color="auto" w:sz="6" w:space="0"/>
              <w:left w:val="single" w:color="auto" w:sz="8" w:space="0"/>
              <w:bottom w:val="single" w:color="auto" w:sz="6" w:space="0"/>
              <w:right w:val="nil"/>
            </w:tcBorders>
            <w:shd w:val="pct50" w:color="auto" w:fill="auto"/>
            <w:vAlign w:val="center"/>
          </w:tcPr>
          <w:p>
            <w:pPr>
              <w:pStyle w:val="93"/>
              <w:jc w:val="both"/>
              <w:rPr>
                <w:rFonts w:asciiTheme="minorEastAsia" w:hAnsiTheme="minorEastAsia" w:eastAsiaTheme="minorEastAsia"/>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A1_01</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编制/发布检查通知</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由监事办管理岗编制集中监督检查或专项监督检查通知并发布</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监事会/监事办管理岗</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线上（OA）处理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无</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检查通知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A1_02</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编制发布检查工作方案</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由监事办管理岗编制集中监督检查或专项监督检查工作方案并发布</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监事会/监事办管理岗</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线上（OA）处理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无</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检查工作方案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A1_03</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下发监督检查资料清单</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工作方案通过审议后，监事办管理岗对被检查部门下发需提供的检查资料清单</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监事会/监事办管理岗</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asciiTheme="minorEastAsia" w:hAnsiTheme="minorEastAsia" w:eastAsiaTheme="minorEastAsia"/>
                <w:color w:val="000000"/>
                <w:sz w:val="21"/>
                <w:szCs w:val="21"/>
              </w:rPr>
            </w:pP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检查资料清单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A1_04</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收集监督资料清单</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被检查部门按照资料清单要求收集资料并提交给监事会</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被检查部门/单位</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检查资料清单</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检查资料清单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A1_05</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汇总/核对监督检查资料清单</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监事会对被检查部门提交的资料进行核对并汇总</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监事会/监事办管理岗</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检查资料清单</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检查资料清单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A1_06</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调查取证</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监事会通过调查、询问、函证、问卷调查等方式收集证据</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监事会</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线下处理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检查资料清单</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调查取证记录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A1_07</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编制工作底稿</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监事办管理岗依据调查取证记录编制监督检查工作底稿</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监事会/监事办管理岗</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调查取证记录、检查资料清单</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工作底稿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A1_08</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编制集中/专项监督检查报告</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在检查实施结束后，监事办管理岗在依据工作底稿编制监督检查报告</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监事会/监事办管理岗</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工作底稿</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监督检查报告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A1_09</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监督检查报告上报交开投集团</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监督检查报告在通过监事会审议后，提交至交开投集团</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监事会/监事办管理岗</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线下处理</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监督检查报告</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eastAsia"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A1_10</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下发问题整改函</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针对监督检查中发现的、需要自行纠正和改进的问题，下发问题整改函给被检查部门</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lang w:val="en-US" w:eastAsia="zh-CN"/>
              </w:rPr>
              <w:t>监事会/监事办管理岗</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线上处理（OA）</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eastAsia"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无</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问题整改函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A1_11</w:t>
            </w:r>
          </w:p>
        </w:tc>
        <w:tc>
          <w:tcPr>
            <w:tcW w:w="723"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问题整改回复</w:t>
            </w:r>
          </w:p>
        </w:tc>
        <w:tc>
          <w:tcPr>
            <w:tcW w:w="1008"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由董事会负责对被检查部门对需整改的问题进行整改回复完成情况</w:t>
            </w:r>
          </w:p>
        </w:tc>
        <w:tc>
          <w:tcPr>
            <w:tcW w:w="949" w:type="pct"/>
            <w:tcBorders>
              <w:top w:val="single" w:color="auto" w:sz="6" w:space="0"/>
              <w:left w:val="single" w:color="auto" w:sz="8" w:space="0"/>
              <w:bottom w:val="single" w:color="auto" w:sz="6"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rPr>
            </w:pPr>
            <w:r>
              <w:rPr>
                <w:rFonts w:hint="eastAsia" w:asciiTheme="minorEastAsia" w:hAnsiTheme="minorEastAsia" w:eastAsiaTheme="minorEastAsia"/>
                <w:color w:val="000000"/>
                <w:sz w:val="21"/>
                <w:szCs w:val="21"/>
                <w:lang w:val="en-US" w:eastAsia="zh-CN"/>
              </w:rPr>
              <w:t>董事会</w:t>
            </w:r>
          </w:p>
        </w:tc>
        <w:tc>
          <w:tcPr>
            <w:tcW w:w="405"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线上处理（OA）</w:t>
            </w:r>
          </w:p>
        </w:tc>
        <w:tc>
          <w:tcPr>
            <w:tcW w:w="601" w:type="pct"/>
            <w:tcBorders>
              <w:top w:val="single" w:color="auto" w:sz="6" w:space="0"/>
              <w:left w:val="single" w:color="auto" w:sz="6" w:space="0"/>
              <w:bottom w:val="single" w:color="auto" w:sz="6"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问题整改函</w:t>
            </w:r>
          </w:p>
        </w:tc>
        <w:tc>
          <w:tcPr>
            <w:tcW w:w="678" w:type="pct"/>
            <w:tcBorders>
              <w:top w:val="single" w:color="auto" w:sz="6" w:space="0"/>
              <w:left w:val="single" w:color="auto" w:sz="8" w:space="0"/>
              <w:bottom w:val="single" w:color="auto" w:sz="6" w:space="0"/>
              <w:right w:val="single" w:color="auto" w:sz="12"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问题整改完成情况复函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72" w:type="dxa"/>
            <w:bottom w:w="0" w:type="dxa"/>
            <w:right w:w="72" w:type="dxa"/>
          </w:tblCellMar>
        </w:tblPrEx>
        <w:tc>
          <w:tcPr>
            <w:tcW w:w="631" w:type="pct"/>
            <w:tcBorders>
              <w:top w:val="single" w:color="auto" w:sz="6" w:space="0"/>
              <w:left w:val="single" w:color="auto" w:sz="12" w:space="0"/>
              <w:bottom w:val="single" w:color="auto" w:sz="12"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A1_12</w:t>
            </w:r>
          </w:p>
        </w:tc>
        <w:tc>
          <w:tcPr>
            <w:tcW w:w="723" w:type="pct"/>
            <w:tcBorders>
              <w:top w:val="single" w:color="auto" w:sz="6" w:space="0"/>
              <w:left w:val="single" w:color="auto" w:sz="6" w:space="0"/>
              <w:bottom w:val="single" w:color="auto" w:sz="12"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问题整改完成情况评价</w:t>
            </w:r>
          </w:p>
        </w:tc>
        <w:tc>
          <w:tcPr>
            <w:tcW w:w="1008" w:type="pct"/>
            <w:tcBorders>
              <w:top w:val="single" w:color="auto" w:sz="6" w:space="0"/>
              <w:left w:val="single" w:color="auto" w:sz="8" w:space="0"/>
              <w:bottom w:val="single" w:color="auto" w:sz="12"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监事会对被检查部门反馈的问题整改完成情况进行评价</w:t>
            </w:r>
          </w:p>
        </w:tc>
        <w:tc>
          <w:tcPr>
            <w:tcW w:w="949" w:type="pct"/>
            <w:tcBorders>
              <w:top w:val="single" w:color="auto" w:sz="6" w:space="0"/>
              <w:left w:val="single" w:color="auto" w:sz="8" w:space="0"/>
              <w:bottom w:val="single" w:color="auto" w:sz="12" w:space="0"/>
              <w:right w:val="single" w:color="auto" w:sz="6"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监事会</w:t>
            </w:r>
          </w:p>
        </w:tc>
        <w:tc>
          <w:tcPr>
            <w:tcW w:w="405" w:type="pct"/>
            <w:tcBorders>
              <w:top w:val="single" w:color="auto" w:sz="6" w:space="0"/>
              <w:left w:val="single" w:color="auto" w:sz="6" w:space="0"/>
              <w:bottom w:val="single" w:color="auto" w:sz="12"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线上处理（OA）</w:t>
            </w:r>
          </w:p>
        </w:tc>
        <w:tc>
          <w:tcPr>
            <w:tcW w:w="601" w:type="pct"/>
            <w:tcBorders>
              <w:top w:val="single" w:color="auto" w:sz="6" w:space="0"/>
              <w:left w:val="single" w:color="auto" w:sz="6" w:space="0"/>
              <w:bottom w:val="single" w:color="auto" w:sz="12" w:space="0"/>
              <w:right w:val="single" w:color="auto" w:sz="8"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问题整改完成情况</w:t>
            </w:r>
          </w:p>
        </w:tc>
        <w:tc>
          <w:tcPr>
            <w:tcW w:w="678" w:type="pct"/>
            <w:tcBorders>
              <w:top w:val="single" w:color="auto" w:sz="6" w:space="0"/>
              <w:left w:val="single" w:color="auto" w:sz="8" w:space="0"/>
              <w:bottom w:val="single" w:color="auto" w:sz="12" w:space="0"/>
              <w:right w:val="single" w:color="auto" w:sz="12" w:space="0"/>
            </w:tcBorders>
            <w:vAlign w:val="center"/>
          </w:tcPr>
          <w:p>
            <w:pPr>
              <w:pStyle w:val="93"/>
              <w:jc w:val="both"/>
              <w:rPr>
                <w:rFonts w:hint="default" w:asciiTheme="minorEastAsia" w:hAnsiTheme="minorEastAsia" w:eastAsiaTheme="minorEastAsia"/>
                <w:color w:val="000000"/>
                <w:sz w:val="21"/>
                <w:szCs w:val="21"/>
                <w:lang w:val="en-US" w:eastAsia="zh-CN"/>
              </w:rPr>
            </w:pPr>
            <w:r>
              <w:rPr>
                <w:rFonts w:hint="eastAsia" w:asciiTheme="minorEastAsia" w:hAnsiTheme="minorEastAsia" w:eastAsiaTheme="minorEastAsia"/>
                <w:color w:val="000000"/>
                <w:sz w:val="21"/>
                <w:szCs w:val="21"/>
                <w:lang w:val="en-US" w:eastAsia="zh-CN"/>
              </w:rPr>
              <w:t>问题评价报告</w:t>
            </w:r>
          </w:p>
        </w:tc>
      </w:tr>
    </w:tbl>
    <w:p>
      <w:pPr>
        <w:pStyle w:val="5"/>
        <w:rPr>
          <w:rFonts w:hint="eastAsia"/>
          <w:lang w:val="en-US" w:eastAsia="zh-CN"/>
        </w:rPr>
      </w:pPr>
    </w:p>
    <w:p>
      <w:pPr>
        <w:pStyle w:val="8"/>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用户业务需求</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72" w:type="dxa"/>
          <w:bottom w:w="0" w:type="dxa"/>
          <w:right w:w="72" w:type="dxa"/>
        </w:tblCellMar>
      </w:tblPr>
      <w:tblGrid>
        <w:gridCol w:w="1293"/>
        <w:gridCol w:w="7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rPr>
          <w:tblHeader/>
        </w:trPr>
        <w:tc>
          <w:tcPr>
            <w:tcW w:w="724" w:type="pct"/>
            <w:shd w:val="clear" w:color="auto" w:fill="EAEAEA"/>
          </w:tcPr>
          <w:p>
            <w:pPr>
              <w:pStyle w:val="9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需求编号</w:t>
            </w:r>
          </w:p>
        </w:tc>
        <w:tc>
          <w:tcPr>
            <w:tcW w:w="4276" w:type="pct"/>
            <w:shd w:val="clear" w:color="auto" w:fill="EAEAEA"/>
          </w:tcPr>
          <w:p>
            <w:pPr>
              <w:pStyle w:val="94"/>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需求详细描述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rPr>
          <w:trHeight w:val="60" w:hRule="exact"/>
        </w:trPr>
        <w:tc>
          <w:tcPr>
            <w:tcW w:w="724" w:type="pct"/>
            <w:shd w:val="pct50" w:color="auto" w:fill="auto"/>
          </w:tcPr>
          <w:p>
            <w:pPr>
              <w:pStyle w:val="93"/>
              <w:rPr>
                <w:rFonts w:asciiTheme="minorEastAsia" w:hAnsiTheme="minorEastAsia" w:eastAsiaTheme="minorEastAsia"/>
                <w:color w:val="000000"/>
                <w:sz w:val="21"/>
                <w:szCs w:val="21"/>
              </w:rPr>
            </w:pPr>
          </w:p>
        </w:tc>
        <w:tc>
          <w:tcPr>
            <w:tcW w:w="4276" w:type="pct"/>
            <w:shd w:val="pct50" w:color="auto" w:fill="auto"/>
          </w:tcPr>
          <w:p>
            <w:pPr>
              <w:pStyle w:val="93"/>
              <w:rPr>
                <w:rFonts w:asciiTheme="minorEastAsia" w:hAnsiTheme="minorEastAsia" w:eastAsiaTheme="minorEastAsia"/>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c>
          <w:tcPr>
            <w:tcW w:w="724" w:type="pct"/>
            <w:vAlign w:val="center"/>
          </w:tcPr>
          <w:p>
            <w:pPr>
              <w:pStyle w:val="93"/>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1</w:t>
            </w:r>
          </w:p>
        </w:tc>
        <w:tc>
          <w:tcPr>
            <w:tcW w:w="4276" w:type="pct"/>
          </w:tcPr>
          <w:p>
            <w:pPr>
              <w:pStyle w:val="93"/>
              <w:rPr>
                <w:rFonts w:asciiTheme="minorEastAsia" w:hAnsiTheme="minorEastAsia" w:eastAsiaTheme="minorEastAsia"/>
                <w:color w:val="000000"/>
                <w:sz w:val="21"/>
                <w:szCs w:val="21"/>
              </w:rPr>
            </w:pPr>
            <w:r>
              <w:rPr>
                <w:rFonts w:hint="eastAsia" w:asciiTheme="minorEastAsia" w:hAnsiTheme="minorEastAsia" w:eastAsiaTheme="minorEastAsia"/>
                <w:sz w:val="21"/>
                <w:szCs w:val="21"/>
                <w:lang w:val="en-US" w:eastAsia="zh-CN"/>
              </w:rPr>
              <w:t>实现集中监督检查管理，由监事会牵头负责按照集团合并报表为基础，对部分所属单位开展延伸检查，通过搭建系统，实现监督检查通知、监督检查工作方案、监督检查资料收集、监督检查工作底稿、监督检查报告以及问题整改跟踪的线上闭环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c>
          <w:tcPr>
            <w:tcW w:w="724" w:type="pct"/>
            <w:vAlign w:val="center"/>
          </w:tcPr>
          <w:p>
            <w:pPr>
              <w:pStyle w:val="93"/>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2</w:t>
            </w:r>
          </w:p>
        </w:tc>
        <w:tc>
          <w:tcPr>
            <w:tcW w:w="4276" w:type="pct"/>
          </w:tcPr>
          <w:p>
            <w:pPr>
              <w:pStyle w:val="93"/>
              <w:rPr>
                <w:rFonts w:asciiTheme="minorEastAsia" w:hAnsiTheme="minorEastAsia" w:eastAsiaTheme="minorEastAsia"/>
                <w:color w:val="000000"/>
                <w:sz w:val="21"/>
                <w:szCs w:val="21"/>
              </w:rPr>
            </w:pPr>
            <w:r>
              <w:rPr>
                <w:rFonts w:hint="eastAsia" w:asciiTheme="minorEastAsia" w:hAnsiTheme="minorEastAsia" w:eastAsiaTheme="minorEastAsia"/>
                <w:sz w:val="21"/>
                <w:szCs w:val="21"/>
              </w:rPr>
              <w:t>实现</w:t>
            </w:r>
            <w:r>
              <w:rPr>
                <w:rFonts w:hint="eastAsia" w:asciiTheme="minorEastAsia" w:hAnsiTheme="minorEastAsia" w:eastAsiaTheme="minorEastAsia"/>
                <w:sz w:val="21"/>
                <w:szCs w:val="21"/>
                <w:lang w:val="en-US" w:eastAsia="zh-CN"/>
              </w:rPr>
              <w:t>专项监督检查管理，包括监事会对公司及其所属单位对外投资、担保、捐赠、资金拆借、资产处置、产权变动、投资收益、业绩考核、薪酬分配、高风险业务等重大事项进行的监督检查，通过系统建设，实现专项监督检查从监督检查通知、监督检查工作方案、监督检查资料收集、监督检查工作底稿、监督检查报告以及问题整改跟踪的线上闭环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c>
          <w:tcPr>
            <w:tcW w:w="724" w:type="pct"/>
            <w:vAlign w:val="center"/>
          </w:tcPr>
          <w:p>
            <w:pPr>
              <w:pStyle w:val="93"/>
              <w:jc w:val="center"/>
              <w:rPr>
                <w:rFonts w:asciiTheme="minorEastAsia" w:hAnsiTheme="minorEastAsia" w:eastAsiaTheme="minorEastAsia"/>
                <w:color w:val="000000"/>
                <w:sz w:val="21"/>
                <w:szCs w:val="21"/>
              </w:rPr>
            </w:pPr>
            <w:r>
              <w:rPr>
                <w:rFonts w:hint="eastAsia" w:asciiTheme="minorEastAsia" w:hAnsiTheme="minorEastAsia" w:eastAsiaTheme="minorEastAsia"/>
                <w:color w:val="000000"/>
                <w:sz w:val="21"/>
                <w:szCs w:val="21"/>
              </w:rPr>
              <w:t>3</w:t>
            </w:r>
          </w:p>
        </w:tc>
        <w:tc>
          <w:tcPr>
            <w:tcW w:w="4276" w:type="pct"/>
          </w:tcPr>
          <w:p>
            <w:pPr>
              <w:pStyle w:val="93"/>
              <w:rPr>
                <w:rFonts w:asciiTheme="minorEastAsia" w:hAnsiTheme="minorEastAsia" w:eastAsiaTheme="minorEastAsia"/>
                <w:color w:val="000000"/>
                <w:sz w:val="21"/>
                <w:szCs w:val="21"/>
              </w:rPr>
            </w:pPr>
            <w:r>
              <w:rPr>
                <w:rFonts w:hint="eastAsia" w:asciiTheme="minorEastAsia" w:hAnsiTheme="minorEastAsia" w:eastAsiaTheme="minorEastAsia"/>
                <w:sz w:val="21"/>
                <w:szCs w:val="21"/>
                <w:lang w:val="en-US" w:eastAsia="zh-CN"/>
              </w:rPr>
              <w:t>实现监事会监督资料库管理，对集中监督检查和专项监督检查所产生的所有过程资料进行管理，支持按照不同项目或者不同部门对资料进行检索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72" w:type="dxa"/>
            <w:bottom w:w="0" w:type="dxa"/>
            <w:right w:w="72" w:type="dxa"/>
          </w:tblCellMar>
        </w:tblPrEx>
        <w:tc>
          <w:tcPr>
            <w:tcW w:w="724" w:type="pct"/>
            <w:vAlign w:val="center"/>
          </w:tcPr>
          <w:p>
            <w:pPr>
              <w:pStyle w:val="93"/>
              <w:jc w:val="center"/>
              <w:rPr>
                <w:rFonts w:hint="eastAsia" w:asciiTheme="minorEastAsia" w:hAnsiTheme="minorEastAsia" w:eastAsiaTheme="minorEastAsia"/>
                <w:color w:val="000000"/>
                <w:sz w:val="21"/>
                <w:szCs w:val="21"/>
                <w:lang w:val="en-US" w:eastAsia="zh-CN"/>
              </w:rPr>
            </w:pPr>
            <w:bookmarkStart w:id="41" w:name="_Toc7444"/>
            <w:r>
              <w:rPr>
                <w:rFonts w:hint="eastAsia" w:asciiTheme="minorEastAsia" w:hAnsiTheme="minorEastAsia" w:eastAsiaTheme="minorEastAsia"/>
                <w:color w:val="000000"/>
                <w:sz w:val="21"/>
                <w:szCs w:val="21"/>
                <w:lang w:val="en-US" w:eastAsia="zh-CN"/>
              </w:rPr>
              <w:t>4</w:t>
            </w:r>
          </w:p>
        </w:tc>
        <w:tc>
          <w:tcPr>
            <w:tcW w:w="4276" w:type="pct"/>
          </w:tcPr>
          <w:p>
            <w:pPr>
              <w:pStyle w:val="93"/>
              <w:rPr>
                <w:rFonts w:hint="default"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实现专报管理功能，包含对专报的编制、提交、查询等子功能</w:t>
            </w:r>
          </w:p>
        </w:tc>
      </w:tr>
    </w:tbl>
    <w:p>
      <w:pPr>
        <w:pStyle w:val="4"/>
      </w:pPr>
      <w:r>
        <w:rPr>
          <w:rFonts w:hint="eastAsia"/>
        </w:rPr>
        <w:t>功能需求分析</w:t>
      </w:r>
      <w:bookmarkEnd w:id="41"/>
    </w:p>
    <w:p>
      <w:pPr>
        <w:pStyle w:val="6"/>
        <w:rPr>
          <w:rFonts w:hint="eastAsia" w:cs="Times New Roman" w:asciiTheme="minorEastAsia" w:hAnsiTheme="minorEastAsia" w:eastAsiaTheme="minorEastAsia"/>
          <w:b/>
          <w:bCs/>
          <w:kern w:val="2"/>
          <w:sz w:val="24"/>
          <w:szCs w:val="24"/>
          <w:lang w:val="en-US" w:eastAsia="zh-CN" w:bidi="ar-SA"/>
        </w:rPr>
      </w:pPr>
      <w:bookmarkStart w:id="42" w:name="_Toc12239"/>
      <w:r>
        <w:rPr>
          <w:rFonts w:hint="eastAsia" w:cs="Times New Roman" w:asciiTheme="minorEastAsia" w:hAnsiTheme="minorEastAsia" w:eastAsiaTheme="minorEastAsia"/>
          <w:b/>
          <w:bCs/>
          <w:kern w:val="2"/>
          <w:sz w:val="24"/>
          <w:szCs w:val="24"/>
          <w:lang w:val="en-US" w:eastAsia="zh-CN" w:bidi="ar-SA"/>
        </w:rPr>
        <w:t>审计计划管理</w:t>
      </w:r>
      <w:bookmarkEnd w:id="42"/>
    </w:p>
    <w:p>
      <w:pPr>
        <w:pStyle w:val="7"/>
      </w:pPr>
      <w:bookmarkStart w:id="43" w:name="_Toc8238"/>
      <w:r>
        <w:rPr>
          <w:rFonts w:hint="eastAsia"/>
          <w:lang w:val="en-US" w:eastAsia="zh-CN"/>
        </w:rPr>
        <w:t>功能描述</w:t>
      </w:r>
      <w:bookmarkEnd w:id="43"/>
    </w:p>
    <w:p>
      <w:pPr>
        <w:pStyle w:val="5"/>
        <w:keepNext/>
        <w:keepLines w:val="0"/>
        <w:pageBreakBefore w:val="0"/>
        <w:widowControl w:val="0"/>
        <w:numPr>
          <w:ilvl w:val="0"/>
          <w:numId w:val="9"/>
        </w:numPr>
        <w:kinsoku/>
        <w:wordWrap/>
        <w:overflowPunct/>
        <w:topLinePunct w:val="0"/>
        <w:autoSpaceDE/>
        <w:autoSpaceDN/>
        <w:bidi w:val="0"/>
        <w:adjustRightInd/>
        <w:snapToGrid w:val="0"/>
        <w:ind w:firstLine="480"/>
        <w:textAlignment w:val="auto"/>
        <w:rPr>
          <w:rFonts w:hint="eastAsia"/>
          <w:b/>
          <w:bCs/>
          <w:sz w:val="24"/>
          <w:szCs w:val="24"/>
        </w:rPr>
      </w:pPr>
      <w:r>
        <w:rPr>
          <w:rFonts w:hint="eastAsia"/>
          <w:b/>
          <w:bCs/>
          <w:sz w:val="24"/>
          <w:szCs w:val="24"/>
          <w:lang w:val="en-US" w:eastAsia="zh-CN"/>
        </w:rPr>
        <w:t>审计</w:t>
      </w:r>
      <w:r>
        <w:rPr>
          <w:rFonts w:hint="eastAsia"/>
          <w:b/>
          <w:bCs/>
          <w:sz w:val="24"/>
          <w:szCs w:val="24"/>
        </w:rPr>
        <w:t>计划编制</w:t>
      </w:r>
    </w:p>
    <w:p>
      <w:pPr>
        <w:pStyle w:val="5"/>
        <w:keepNext/>
        <w:keepLines w:val="0"/>
        <w:pageBreakBefore w:val="0"/>
        <w:widowControl w:val="0"/>
        <w:numPr>
          <w:ilvl w:val="0"/>
          <w:numId w:val="0"/>
        </w:numPr>
        <w:kinsoku/>
        <w:wordWrap/>
        <w:overflowPunct/>
        <w:topLinePunct w:val="0"/>
        <w:autoSpaceDE/>
        <w:autoSpaceDN/>
        <w:bidi w:val="0"/>
        <w:adjustRightInd/>
        <w:snapToGrid w:val="0"/>
        <w:ind w:firstLine="420" w:firstLineChars="0"/>
        <w:textAlignment w:val="auto"/>
        <w:rPr>
          <w:sz w:val="24"/>
          <w:szCs w:val="24"/>
        </w:rPr>
      </w:pPr>
      <w:r>
        <w:rPr>
          <w:rFonts w:hint="eastAsia"/>
          <w:sz w:val="24"/>
          <w:szCs w:val="24"/>
        </w:rPr>
        <w:t>提供年度计划的创建、编辑和删除功能，包括计划名称、审计目标、</w:t>
      </w:r>
      <w:r>
        <w:rPr>
          <w:rFonts w:hint="eastAsia"/>
          <w:sz w:val="24"/>
          <w:szCs w:val="24"/>
          <w:lang w:val="en-US" w:eastAsia="zh-CN"/>
        </w:rPr>
        <w:t>审计资源、审计时间</w:t>
      </w:r>
      <w:r>
        <w:rPr>
          <w:rFonts w:hint="eastAsia"/>
          <w:sz w:val="24"/>
          <w:szCs w:val="24"/>
        </w:rPr>
        <w:t>等信息的录入。提供模板和工具，辅助计划编制人员填写计划的基本信息。</w:t>
      </w:r>
    </w:p>
    <w:p>
      <w:pPr>
        <w:pStyle w:val="5"/>
        <w:keepNext/>
        <w:keepLines w:val="0"/>
        <w:pageBreakBefore w:val="0"/>
        <w:widowControl w:val="0"/>
        <w:numPr>
          <w:ilvl w:val="0"/>
          <w:numId w:val="9"/>
        </w:numPr>
        <w:kinsoku/>
        <w:wordWrap/>
        <w:overflowPunct/>
        <w:topLinePunct w:val="0"/>
        <w:autoSpaceDE/>
        <w:autoSpaceDN/>
        <w:bidi w:val="0"/>
        <w:adjustRightInd/>
        <w:snapToGrid w:val="0"/>
        <w:ind w:left="0" w:leftChars="0" w:firstLine="482" w:firstLineChars="200"/>
        <w:textAlignment w:val="auto"/>
        <w:rPr>
          <w:rFonts w:hint="eastAsia"/>
          <w:b/>
          <w:bCs/>
          <w:sz w:val="24"/>
          <w:szCs w:val="24"/>
        </w:rPr>
      </w:pPr>
      <w:r>
        <w:rPr>
          <w:rFonts w:hint="eastAsia"/>
          <w:b/>
          <w:bCs/>
          <w:sz w:val="24"/>
          <w:szCs w:val="24"/>
          <w:lang w:val="en-US" w:eastAsia="zh-CN"/>
        </w:rPr>
        <w:t>审计计划</w:t>
      </w:r>
      <w:r>
        <w:rPr>
          <w:rFonts w:hint="eastAsia"/>
          <w:b/>
          <w:bCs/>
          <w:sz w:val="24"/>
          <w:szCs w:val="24"/>
        </w:rPr>
        <w:t>审核</w:t>
      </w:r>
    </w:p>
    <w:p>
      <w:pPr>
        <w:pStyle w:val="5"/>
        <w:keepNext/>
        <w:keepLines w:val="0"/>
        <w:pageBreakBefore w:val="0"/>
        <w:widowControl w:val="0"/>
        <w:numPr>
          <w:ilvl w:val="0"/>
          <w:numId w:val="0"/>
        </w:numPr>
        <w:kinsoku/>
        <w:wordWrap/>
        <w:overflowPunct/>
        <w:topLinePunct w:val="0"/>
        <w:autoSpaceDE/>
        <w:autoSpaceDN/>
        <w:bidi w:val="0"/>
        <w:adjustRightInd/>
        <w:snapToGrid w:val="0"/>
        <w:ind w:firstLine="420" w:firstLineChars="0"/>
        <w:textAlignment w:val="auto"/>
        <w:rPr>
          <w:rFonts w:hint="eastAsia"/>
          <w:sz w:val="24"/>
          <w:szCs w:val="24"/>
        </w:rPr>
      </w:pPr>
      <w:r>
        <w:rPr>
          <w:rFonts w:hint="eastAsia"/>
          <w:sz w:val="24"/>
          <w:szCs w:val="24"/>
        </w:rPr>
        <w:t>提供</w:t>
      </w:r>
      <w:r>
        <w:rPr>
          <w:rFonts w:hint="eastAsia"/>
          <w:sz w:val="24"/>
          <w:szCs w:val="24"/>
          <w:lang w:val="en-US" w:eastAsia="zh-CN"/>
        </w:rPr>
        <w:t>年度审计计划</w:t>
      </w:r>
      <w:r>
        <w:rPr>
          <w:rFonts w:hint="eastAsia"/>
          <w:sz w:val="24"/>
          <w:szCs w:val="24"/>
        </w:rPr>
        <w:t>审核</w:t>
      </w:r>
      <w:r>
        <w:rPr>
          <w:rFonts w:hint="eastAsia"/>
          <w:sz w:val="24"/>
          <w:szCs w:val="24"/>
          <w:lang w:val="en-US" w:eastAsia="zh-CN"/>
        </w:rPr>
        <w:t>管理功能</w:t>
      </w:r>
      <w:r>
        <w:rPr>
          <w:rFonts w:hint="eastAsia"/>
          <w:sz w:val="24"/>
          <w:szCs w:val="24"/>
        </w:rPr>
        <w:t>，</w:t>
      </w:r>
      <w:r>
        <w:rPr>
          <w:rFonts w:hint="eastAsia"/>
          <w:sz w:val="24"/>
          <w:szCs w:val="24"/>
          <w:lang w:val="en-US" w:eastAsia="zh-CN"/>
        </w:rPr>
        <w:t>支持同意、驳回操作，驳回时统一驳回到流程提交人员</w:t>
      </w:r>
      <w:r>
        <w:rPr>
          <w:rFonts w:hint="eastAsia"/>
          <w:sz w:val="24"/>
          <w:szCs w:val="24"/>
        </w:rPr>
        <w:t>，并记录审核意见和结果。</w:t>
      </w:r>
    </w:p>
    <w:p>
      <w:pPr>
        <w:pStyle w:val="5"/>
        <w:keepNext/>
        <w:keepLines w:val="0"/>
        <w:pageBreakBefore w:val="0"/>
        <w:widowControl w:val="0"/>
        <w:numPr>
          <w:ilvl w:val="0"/>
          <w:numId w:val="9"/>
        </w:numPr>
        <w:kinsoku/>
        <w:wordWrap/>
        <w:overflowPunct/>
        <w:topLinePunct w:val="0"/>
        <w:autoSpaceDE/>
        <w:autoSpaceDN/>
        <w:bidi w:val="0"/>
        <w:adjustRightInd/>
        <w:snapToGrid w:val="0"/>
        <w:ind w:left="0" w:leftChars="0" w:firstLine="482" w:firstLineChars="200"/>
        <w:textAlignment w:val="auto"/>
        <w:rPr>
          <w:rFonts w:hint="eastAsia"/>
          <w:b/>
          <w:bCs/>
          <w:sz w:val="24"/>
          <w:szCs w:val="24"/>
        </w:rPr>
      </w:pPr>
      <w:r>
        <w:rPr>
          <w:rFonts w:hint="eastAsia"/>
          <w:b/>
          <w:bCs/>
          <w:sz w:val="24"/>
          <w:szCs w:val="24"/>
          <w:lang w:val="en-US" w:eastAsia="zh-CN"/>
        </w:rPr>
        <w:t>审计</w:t>
      </w:r>
      <w:r>
        <w:rPr>
          <w:rFonts w:hint="eastAsia"/>
          <w:b/>
          <w:bCs/>
          <w:sz w:val="24"/>
          <w:szCs w:val="24"/>
        </w:rPr>
        <w:t>计划</w:t>
      </w:r>
      <w:r>
        <w:rPr>
          <w:rFonts w:hint="eastAsia"/>
          <w:b/>
          <w:bCs/>
          <w:sz w:val="24"/>
          <w:szCs w:val="24"/>
          <w:lang w:val="en-US" w:eastAsia="zh-CN"/>
        </w:rPr>
        <w:t>年中调整</w:t>
      </w:r>
    </w:p>
    <w:p>
      <w:pPr>
        <w:pStyle w:val="5"/>
        <w:keepNext/>
        <w:keepLines w:val="0"/>
        <w:pageBreakBefore w:val="0"/>
        <w:widowControl w:val="0"/>
        <w:numPr>
          <w:ilvl w:val="0"/>
          <w:numId w:val="0"/>
        </w:numPr>
        <w:kinsoku/>
        <w:wordWrap/>
        <w:overflowPunct/>
        <w:topLinePunct w:val="0"/>
        <w:autoSpaceDE/>
        <w:autoSpaceDN/>
        <w:bidi w:val="0"/>
        <w:adjustRightInd/>
        <w:snapToGrid w:val="0"/>
        <w:ind w:firstLine="420" w:firstLineChars="0"/>
        <w:textAlignment w:val="auto"/>
        <w:rPr>
          <w:rFonts w:hint="default"/>
          <w:sz w:val="24"/>
          <w:szCs w:val="24"/>
          <w:lang w:val="en-US" w:eastAsia="zh-CN"/>
        </w:rPr>
      </w:pPr>
      <w:r>
        <w:rPr>
          <w:rFonts w:hint="eastAsia"/>
          <w:sz w:val="24"/>
          <w:szCs w:val="24"/>
          <w:lang w:val="en-US" w:eastAsia="zh-CN"/>
        </w:rPr>
        <w:t>提供年度审计计划年中调整功能，由审计法务部内审岗或外审岗对计划进行更新，包括对审计项目增加、删除和更新操作。年中计划调整后，需经过分管领导、董事长等人员审批通过后，可组织审计实施。</w:t>
      </w:r>
    </w:p>
    <w:p>
      <w:pPr>
        <w:pStyle w:val="5"/>
        <w:keepNext/>
        <w:keepLines w:val="0"/>
        <w:pageBreakBefore w:val="0"/>
        <w:widowControl w:val="0"/>
        <w:numPr>
          <w:ilvl w:val="0"/>
          <w:numId w:val="9"/>
        </w:numPr>
        <w:kinsoku/>
        <w:wordWrap/>
        <w:overflowPunct/>
        <w:topLinePunct w:val="0"/>
        <w:autoSpaceDE/>
        <w:autoSpaceDN/>
        <w:bidi w:val="0"/>
        <w:adjustRightInd/>
        <w:snapToGrid w:val="0"/>
        <w:ind w:left="0" w:leftChars="0" w:firstLine="482" w:firstLineChars="200"/>
        <w:textAlignment w:val="auto"/>
        <w:rPr>
          <w:rFonts w:hint="eastAsia"/>
          <w:b/>
          <w:bCs/>
          <w:sz w:val="24"/>
          <w:szCs w:val="24"/>
        </w:rPr>
      </w:pPr>
      <w:r>
        <w:rPr>
          <w:rFonts w:hint="eastAsia"/>
          <w:b/>
          <w:bCs/>
          <w:sz w:val="24"/>
          <w:szCs w:val="24"/>
          <w:lang w:val="en-US" w:eastAsia="zh-CN"/>
        </w:rPr>
        <w:t>审计</w:t>
      </w:r>
      <w:r>
        <w:rPr>
          <w:rFonts w:hint="eastAsia"/>
          <w:b/>
          <w:bCs/>
          <w:sz w:val="24"/>
          <w:szCs w:val="24"/>
        </w:rPr>
        <w:t>计划执行跟踪</w:t>
      </w:r>
    </w:p>
    <w:p>
      <w:pPr>
        <w:pStyle w:val="5"/>
        <w:keepNext/>
        <w:keepLines w:val="0"/>
        <w:pageBreakBefore w:val="0"/>
        <w:widowControl w:val="0"/>
        <w:numPr>
          <w:ilvl w:val="0"/>
          <w:numId w:val="0"/>
        </w:numPr>
        <w:kinsoku/>
        <w:wordWrap/>
        <w:overflowPunct/>
        <w:topLinePunct w:val="0"/>
        <w:autoSpaceDE/>
        <w:autoSpaceDN/>
        <w:bidi w:val="0"/>
        <w:adjustRightInd/>
        <w:snapToGrid w:val="0"/>
        <w:ind w:firstLine="420" w:firstLineChars="0"/>
        <w:textAlignment w:val="auto"/>
        <w:rPr>
          <w:bCs/>
          <w:sz w:val="24"/>
          <w:szCs w:val="24"/>
        </w:rPr>
      </w:pPr>
      <w:r>
        <w:rPr>
          <w:rFonts w:hint="eastAsia"/>
          <w:sz w:val="24"/>
          <w:szCs w:val="24"/>
        </w:rPr>
        <w:t>提供计划执行跟踪功能，记录计划的进度和完成情况。能够追踪计划的执行情况，并及时处理计划中的变更和延迟。</w:t>
      </w:r>
    </w:p>
    <w:p>
      <w:pPr>
        <w:pStyle w:val="7"/>
        <w:rPr>
          <w:rFonts w:hint="eastAsia" w:ascii="Times New Roman" w:hAnsi="Times New Roman" w:eastAsia="宋体" w:cs="Times New Roman"/>
          <w:b/>
          <w:bCs/>
          <w:kern w:val="2"/>
          <w:sz w:val="24"/>
          <w:szCs w:val="24"/>
          <w:lang w:val="en-US" w:eastAsia="zh-CN" w:bidi="ar-SA"/>
        </w:rPr>
      </w:pPr>
      <w:bookmarkStart w:id="44" w:name="_Toc16040"/>
      <w:r>
        <w:rPr>
          <w:rFonts w:hint="eastAsia" w:cs="Times New Roman"/>
          <w:b/>
          <w:bCs/>
          <w:kern w:val="2"/>
          <w:sz w:val="24"/>
          <w:szCs w:val="24"/>
          <w:lang w:val="en-US" w:eastAsia="zh-CN" w:bidi="ar-SA"/>
        </w:rPr>
        <w:t>数据需求</w:t>
      </w:r>
      <w:bookmarkEnd w:id="44"/>
    </w:p>
    <w:p>
      <w:pPr>
        <w:pStyle w:val="5"/>
        <w:rPr>
          <w:rFonts w:hint="default"/>
          <w:b/>
          <w:bCs/>
          <w:sz w:val="24"/>
          <w:szCs w:val="24"/>
          <w:lang w:val="en-US" w:eastAsia="zh-CN"/>
        </w:rPr>
      </w:pPr>
      <w:r>
        <w:rPr>
          <w:rFonts w:hint="eastAsia"/>
          <w:b/>
          <w:bCs/>
          <w:sz w:val="24"/>
          <w:szCs w:val="24"/>
          <w:lang w:val="en-US" w:eastAsia="zh-CN"/>
        </w:rPr>
        <w:t>1、审计计划数据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rPr>
              <w:t>审计计划</w:t>
            </w:r>
            <w:r>
              <w:rPr>
                <w:rFonts w:hint="eastAsia" w:ascii="仿宋" w:hAnsi="仿宋" w:cs="仿宋"/>
                <w:color w:val="000000"/>
                <w:sz w:val="24"/>
                <w:szCs w:val="24"/>
                <w:lang w:val="en-US" w:eastAsia="zh-CN"/>
              </w:rPr>
              <w:t>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用于唯一标识和识别审计计划的编号或代码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eastAsia" w:ascii="仿宋" w:hAnsi="仿宋" w:eastAsia="宋体" w:cs="仿宋"/>
                <w:color w:val="000000"/>
                <w:sz w:val="24"/>
                <w:szCs w:val="24"/>
                <w:lang w:val="en-US" w:eastAsia="zh-CN"/>
              </w:rPr>
            </w:pPr>
            <w:r>
              <w:rPr>
                <w:rFonts w:hint="eastAsia" w:ascii="仿宋" w:hAnsi="仿宋" w:cs="仿宋"/>
                <w:color w:val="000000"/>
                <w:sz w:val="24"/>
                <w:szCs w:val="24"/>
                <w:lang w:val="en-US" w:eastAsia="zh-CN"/>
              </w:rPr>
              <w:t>年度</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显示该审计计划所属年度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审计工作目标</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显示本次审计的工作目标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审计项目名称</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对审计项目进行简要描述或命名，以便于辨识和区分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审计范围</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明确规定该审计项目的边界和涉及的业务、系统或流程范围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目标任务</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明确规定该审计项目的目标和预期结果，即审计应关注的方面、目的和期望的成果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审计时间</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规定该审计项目的计划开始日期和预计的审计周期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审计人员</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指定负责该审计项目的主要负责人或审计组长，列出参与该审计项目的其他成员或相关人员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审计人员时间安排</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指定审计人员的时间安排计划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委外审计机构</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显示参与的外部审计机构名称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委外审计费用</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明确外部审计机构所需费用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承办部门</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显示本年度审计计划的承办部门信息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承办部门负责人</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显示年度审计计划承办部门负责人信息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cs="仿宋"/>
                <w:color w:val="000000"/>
                <w:sz w:val="24"/>
                <w:szCs w:val="24"/>
                <w:lang w:val="en-US" w:eastAsia="zh-CN"/>
              </w:rPr>
            </w:pPr>
            <w:r>
              <w:rPr>
                <w:rFonts w:hint="eastAsia" w:ascii="仿宋" w:hAnsi="仿宋" w:cs="仿宋"/>
                <w:color w:val="000000"/>
                <w:sz w:val="24"/>
                <w:szCs w:val="24"/>
                <w:lang w:val="en-US" w:eastAsia="zh-CN"/>
              </w:rPr>
              <w:t>经办人</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显示年度审计计划经办人信息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cs="仿宋"/>
                <w:color w:val="000000"/>
                <w:sz w:val="24"/>
                <w:szCs w:val="24"/>
                <w:lang w:val="en-US" w:eastAsia="zh-CN"/>
              </w:rPr>
            </w:pPr>
            <w:r>
              <w:rPr>
                <w:rFonts w:hint="eastAsia" w:ascii="仿宋" w:hAnsi="仿宋" w:cs="仿宋"/>
                <w:color w:val="000000"/>
                <w:sz w:val="24"/>
                <w:szCs w:val="24"/>
                <w:lang w:val="en-US" w:eastAsia="zh-CN"/>
              </w:rPr>
              <w:t>提交日期</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显示年度审计计划提交日期信息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备注</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宋体" w:cs="仿宋"/>
                <w:color w:val="000000"/>
                <w:sz w:val="24"/>
                <w:szCs w:val="24"/>
                <w:lang w:val="en-US" w:eastAsia="zh-CN"/>
              </w:rPr>
            </w:pPr>
            <w:r>
              <w:rPr>
                <w:rFonts w:hint="eastAsia" w:ascii="仿宋" w:hAnsi="仿宋" w:cs="仿宋"/>
                <w:color w:val="000000"/>
                <w:sz w:val="24"/>
                <w:szCs w:val="24"/>
                <w:lang w:val="en-US" w:eastAsia="zh-CN"/>
              </w:rPr>
              <w:t>其他</w:t>
            </w:r>
            <w:r>
              <w:rPr>
                <w:rFonts w:hint="eastAsia" w:ascii="仿宋" w:hAnsi="仿宋" w:cs="仿宋"/>
                <w:color w:val="000000"/>
                <w:sz w:val="24"/>
                <w:szCs w:val="24"/>
              </w:rPr>
              <w:t>说明</w:t>
            </w:r>
          </w:p>
        </w:tc>
      </w:tr>
    </w:tbl>
    <w:p>
      <w:pPr>
        <w:pStyle w:val="5"/>
        <w:rPr>
          <w:rFonts w:hint="eastAsia"/>
          <w:lang w:val="en-US" w:eastAsia="zh-CN"/>
        </w:rPr>
      </w:pPr>
    </w:p>
    <w:p>
      <w:pPr>
        <w:pStyle w:val="7"/>
        <w:rPr>
          <w:rFonts w:hint="eastAsia" w:ascii="Times New Roman" w:hAnsi="Times New Roman" w:eastAsia="宋体" w:cs="Times New Roman"/>
          <w:b/>
          <w:bCs/>
          <w:kern w:val="2"/>
          <w:sz w:val="24"/>
          <w:szCs w:val="24"/>
          <w:lang w:val="en-US" w:eastAsia="zh-CN" w:bidi="ar-SA"/>
        </w:rPr>
      </w:pPr>
      <w:bookmarkStart w:id="45" w:name="_Toc17064"/>
      <w:r>
        <w:rPr>
          <w:rFonts w:hint="eastAsia" w:cs="Times New Roman"/>
          <w:b/>
          <w:bCs/>
          <w:kern w:val="2"/>
          <w:sz w:val="24"/>
          <w:szCs w:val="24"/>
          <w:lang w:val="en-US" w:eastAsia="zh-CN" w:bidi="ar-SA"/>
        </w:rPr>
        <w:t>权限需求</w:t>
      </w:r>
      <w:bookmarkEnd w:id="45"/>
    </w:p>
    <w:tbl>
      <w:tblPr>
        <w:tblStyle w:val="3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9"/>
        <w:gridCol w:w="1830"/>
        <w:gridCol w:w="1689"/>
        <w:gridCol w:w="1970"/>
        <w:gridCol w:w="2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序号</w:t>
            </w:r>
          </w:p>
        </w:tc>
        <w:tc>
          <w:tcPr>
            <w:tcW w:w="1016" w:type="pct"/>
            <w:shd w:val="clear" w:color="auto" w:fill="D9D9D9"/>
          </w:tcPr>
          <w:p>
            <w:pPr>
              <w:spacing w:line="360" w:lineRule="auto"/>
              <w:rPr>
                <w:rFonts w:ascii="宋体" w:hAnsi="宋体" w:eastAsia="Times New Roman" w:cs="宋体"/>
                <w:b/>
                <w:bCs/>
                <w:sz w:val="21"/>
                <w:szCs w:val="21"/>
              </w:rPr>
            </w:pPr>
            <w:r>
              <w:rPr>
                <w:rFonts w:hint="eastAsia" w:ascii="宋体" w:hAnsi="宋体" w:eastAsia="宋体" w:cs="宋体"/>
                <w:b/>
                <w:bCs/>
                <w:sz w:val="21"/>
                <w:szCs w:val="21"/>
              </w:rPr>
              <w:t>模块</w:t>
            </w:r>
          </w:p>
        </w:tc>
        <w:tc>
          <w:tcPr>
            <w:tcW w:w="938" w:type="pct"/>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菜单权限</w:t>
            </w:r>
          </w:p>
        </w:tc>
        <w:tc>
          <w:tcPr>
            <w:tcW w:w="1094" w:type="pct"/>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按钮权限</w:t>
            </w:r>
          </w:p>
        </w:tc>
        <w:tc>
          <w:tcPr>
            <w:tcW w:w="1485" w:type="pct"/>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数据权限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tcPr>
          <w:p>
            <w:pPr>
              <w:spacing w:line="360" w:lineRule="auto"/>
              <w:rPr>
                <w:rFonts w:ascii="Times New Roman" w:hAnsi="Times New Roman"/>
                <w:sz w:val="21"/>
                <w:szCs w:val="21"/>
              </w:rPr>
            </w:pPr>
            <w:r>
              <w:rPr>
                <w:rFonts w:hint="eastAsia" w:ascii="Times New Roman" w:hAnsi="Times New Roman"/>
                <w:sz w:val="21"/>
                <w:szCs w:val="21"/>
              </w:rPr>
              <w:t>1</w:t>
            </w:r>
          </w:p>
        </w:tc>
        <w:tc>
          <w:tcPr>
            <w:tcW w:w="1016" w:type="pct"/>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审计计划</w:t>
            </w:r>
          </w:p>
        </w:tc>
        <w:tc>
          <w:tcPr>
            <w:tcW w:w="938" w:type="pct"/>
          </w:tcPr>
          <w:p>
            <w:pPr>
              <w:spacing w:line="360" w:lineRule="auto"/>
              <w:rPr>
                <w:rFonts w:ascii="Times New Roman" w:hAnsi="Times New Roman"/>
                <w:sz w:val="21"/>
                <w:szCs w:val="21"/>
              </w:rPr>
            </w:pPr>
            <w:r>
              <w:rPr>
                <w:rFonts w:hint="eastAsia" w:ascii="Times New Roman" w:hAnsi="Times New Roman"/>
                <w:sz w:val="21"/>
                <w:szCs w:val="21"/>
              </w:rPr>
              <w:t>按角色授权</w:t>
            </w:r>
          </w:p>
        </w:tc>
        <w:tc>
          <w:tcPr>
            <w:tcW w:w="1094" w:type="pct"/>
          </w:tcPr>
          <w:p>
            <w:pPr>
              <w:spacing w:line="360" w:lineRule="auto"/>
              <w:rPr>
                <w:rFonts w:ascii="Times New Roman" w:hAnsi="Times New Roman"/>
                <w:sz w:val="21"/>
                <w:szCs w:val="21"/>
              </w:rPr>
            </w:pPr>
            <w:r>
              <w:rPr>
                <w:rFonts w:hint="eastAsia" w:ascii="Times New Roman" w:hAnsi="Times New Roman"/>
                <w:sz w:val="21"/>
                <w:szCs w:val="21"/>
              </w:rPr>
              <w:t>按角色授权</w:t>
            </w:r>
          </w:p>
        </w:tc>
        <w:tc>
          <w:tcPr>
            <w:tcW w:w="1485" w:type="pct"/>
          </w:tcPr>
          <w:p>
            <w:pPr>
              <w:spacing w:line="360" w:lineRule="auto"/>
              <w:rPr>
                <w:rFonts w:ascii="Times New Roman" w:hAnsi="Times New Roman"/>
                <w:sz w:val="21"/>
                <w:szCs w:val="21"/>
              </w:rPr>
            </w:pPr>
            <w:r>
              <w:rPr>
                <w:rFonts w:hint="eastAsia" w:ascii="Times New Roman" w:hAnsi="Times New Roman"/>
                <w:sz w:val="21"/>
                <w:szCs w:val="21"/>
              </w:rPr>
              <w:t>按角色授权</w:t>
            </w:r>
          </w:p>
        </w:tc>
      </w:tr>
    </w:tbl>
    <w:p>
      <w:pPr>
        <w:pStyle w:val="5"/>
        <w:rPr>
          <w:rFonts w:hint="eastAsia"/>
          <w:lang w:val="en-US" w:eastAsia="zh-CN"/>
        </w:rPr>
      </w:pPr>
    </w:p>
    <w:p>
      <w:pPr>
        <w:pStyle w:val="6"/>
        <w:rPr>
          <w:rFonts w:hint="eastAsia" w:cs="Times New Roman" w:asciiTheme="minorEastAsia" w:hAnsiTheme="minorEastAsia" w:eastAsiaTheme="minorEastAsia"/>
          <w:b/>
          <w:bCs/>
          <w:kern w:val="2"/>
          <w:sz w:val="24"/>
          <w:szCs w:val="24"/>
          <w:lang w:val="en-US" w:eastAsia="zh-CN" w:bidi="ar-SA"/>
        </w:rPr>
      </w:pPr>
      <w:bookmarkStart w:id="46" w:name="_Toc19918"/>
      <w:r>
        <w:rPr>
          <w:rFonts w:hint="eastAsia" w:cs="Times New Roman" w:asciiTheme="minorEastAsia" w:hAnsiTheme="minorEastAsia" w:eastAsiaTheme="minorEastAsia"/>
          <w:b/>
          <w:bCs/>
          <w:kern w:val="2"/>
          <w:sz w:val="24"/>
          <w:szCs w:val="24"/>
          <w:lang w:val="en-US" w:eastAsia="zh-CN" w:bidi="ar-SA"/>
        </w:rPr>
        <w:t>审计项目管理</w:t>
      </w:r>
      <w:bookmarkEnd w:id="46"/>
    </w:p>
    <w:p>
      <w:pPr>
        <w:pStyle w:val="7"/>
      </w:pPr>
      <w:bookmarkStart w:id="47" w:name="_Toc1694"/>
      <w:r>
        <w:rPr>
          <w:rFonts w:hint="eastAsia"/>
          <w:lang w:val="en-US" w:eastAsia="zh-CN"/>
        </w:rPr>
        <w:t>功能描述</w:t>
      </w:r>
      <w:bookmarkEnd w:id="47"/>
    </w:p>
    <w:p>
      <w:pPr>
        <w:numPr>
          <w:ilvl w:val="0"/>
          <w:numId w:val="10"/>
        </w:numPr>
        <w:spacing w:line="360" w:lineRule="auto"/>
        <w:ind w:firstLine="482" w:firstLineChars="200"/>
        <w:rPr>
          <w:rFonts w:hint="eastAsia"/>
          <w:b/>
          <w:bCs/>
          <w:sz w:val="24"/>
          <w:szCs w:val="24"/>
        </w:rPr>
      </w:pPr>
      <w:r>
        <w:rPr>
          <w:rFonts w:hint="eastAsia"/>
          <w:b/>
          <w:bCs/>
          <w:sz w:val="24"/>
          <w:szCs w:val="24"/>
          <w:lang w:val="en-US" w:eastAsia="zh-CN"/>
        </w:rPr>
        <w:t>审计通知书管理</w:t>
      </w:r>
    </w:p>
    <w:p>
      <w:pPr>
        <w:spacing w:line="360" w:lineRule="auto"/>
        <w:ind w:firstLine="420" w:firstLineChars="0"/>
        <w:rPr>
          <w:sz w:val="24"/>
          <w:szCs w:val="24"/>
        </w:rPr>
      </w:pPr>
      <w:r>
        <w:rPr>
          <w:rFonts w:hint="eastAsia"/>
          <w:sz w:val="24"/>
          <w:szCs w:val="24"/>
        </w:rPr>
        <w:t>创建审计项目，并记录项目的基本信息。编制审计项目的目标和范围，以及项目的时间和审计范围。编制审计项目的阶段、计划和资源安排，以便跟踪项目的进展情况。</w:t>
      </w:r>
    </w:p>
    <w:p>
      <w:pPr>
        <w:numPr>
          <w:ilvl w:val="0"/>
          <w:numId w:val="10"/>
        </w:numPr>
        <w:spacing w:line="360" w:lineRule="auto"/>
        <w:ind w:firstLine="482" w:firstLineChars="200"/>
        <w:rPr>
          <w:rFonts w:hint="eastAsia"/>
          <w:b/>
          <w:bCs/>
          <w:sz w:val="24"/>
          <w:szCs w:val="24"/>
        </w:rPr>
      </w:pPr>
      <w:r>
        <w:rPr>
          <w:rFonts w:hint="eastAsia"/>
          <w:b/>
          <w:bCs/>
          <w:sz w:val="24"/>
          <w:szCs w:val="24"/>
          <w:lang w:val="en-US" w:eastAsia="zh-CN"/>
        </w:rPr>
        <w:t>审计资料收集管理</w:t>
      </w:r>
    </w:p>
    <w:p>
      <w:pPr>
        <w:spacing w:line="360" w:lineRule="auto"/>
        <w:ind w:firstLine="420" w:firstLineChars="0"/>
        <w:rPr>
          <w:sz w:val="24"/>
          <w:szCs w:val="24"/>
        </w:rPr>
      </w:pPr>
      <w:r>
        <w:rPr>
          <w:rFonts w:hint="eastAsia"/>
          <w:sz w:val="24"/>
          <w:szCs w:val="24"/>
        </w:rPr>
        <w:t>支持收集被审计单位的相关资料，并记录收集的状态和进度。提供文件上传和关联功能，使审计人员可以将收集到的资料与相应的审计项目关联起来。支持审计人员与被审计单位之间的协作和通信，以便获取所需的资料。</w:t>
      </w:r>
    </w:p>
    <w:p>
      <w:pPr>
        <w:numPr>
          <w:ilvl w:val="0"/>
          <w:numId w:val="10"/>
        </w:numPr>
        <w:spacing w:line="360" w:lineRule="auto"/>
        <w:ind w:firstLine="482" w:firstLineChars="200"/>
        <w:rPr>
          <w:rFonts w:hint="eastAsia"/>
          <w:b/>
          <w:bCs/>
          <w:sz w:val="24"/>
          <w:szCs w:val="24"/>
        </w:rPr>
      </w:pPr>
      <w:r>
        <w:rPr>
          <w:rFonts w:hint="eastAsia"/>
          <w:b/>
          <w:bCs/>
          <w:sz w:val="24"/>
          <w:szCs w:val="24"/>
          <w:lang w:val="en-US" w:eastAsia="zh-CN"/>
        </w:rPr>
        <w:t>审计</w:t>
      </w:r>
      <w:r>
        <w:rPr>
          <w:rFonts w:hint="eastAsia"/>
          <w:b/>
          <w:bCs/>
          <w:sz w:val="24"/>
          <w:szCs w:val="24"/>
        </w:rPr>
        <w:t>资料汇总</w:t>
      </w:r>
    </w:p>
    <w:p>
      <w:pPr>
        <w:spacing w:line="360" w:lineRule="auto"/>
        <w:ind w:firstLine="420" w:firstLineChars="0"/>
        <w:rPr>
          <w:sz w:val="24"/>
          <w:szCs w:val="24"/>
        </w:rPr>
      </w:pPr>
      <w:r>
        <w:rPr>
          <w:rFonts w:hint="eastAsia"/>
          <w:sz w:val="24"/>
          <w:szCs w:val="24"/>
        </w:rPr>
        <w:t>将从被审计单位收集到的资料进行汇总和整理，以便后续审计工作的进行。</w:t>
      </w:r>
    </w:p>
    <w:p>
      <w:pPr>
        <w:spacing w:line="360" w:lineRule="auto"/>
        <w:ind w:firstLine="420" w:firstLineChars="0"/>
        <w:rPr>
          <w:sz w:val="24"/>
          <w:szCs w:val="24"/>
        </w:rPr>
      </w:pPr>
      <w:r>
        <w:rPr>
          <w:rFonts w:hint="eastAsia"/>
          <w:sz w:val="24"/>
          <w:szCs w:val="24"/>
        </w:rPr>
        <w:t>提供分类、标签和搜索功能，以便快速查找和访问所需的资料。</w:t>
      </w:r>
    </w:p>
    <w:p>
      <w:pPr>
        <w:spacing w:line="360" w:lineRule="auto"/>
        <w:ind w:firstLine="420" w:firstLineChars="0"/>
        <w:rPr>
          <w:sz w:val="24"/>
          <w:szCs w:val="24"/>
        </w:rPr>
      </w:pPr>
      <w:r>
        <w:rPr>
          <w:rFonts w:hint="eastAsia"/>
          <w:sz w:val="24"/>
          <w:szCs w:val="24"/>
        </w:rPr>
        <w:t>支持生成资料清单和目录，使审计人员可以清晰了解已收集的资料内容和范围。</w:t>
      </w:r>
    </w:p>
    <w:p>
      <w:pPr>
        <w:numPr>
          <w:ilvl w:val="0"/>
          <w:numId w:val="10"/>
        </w:numPr>
        <w:spacing w:line="360" w:lineRule="auto"/>
        <w:ind w:firstLine="482" w:firstLineChars="200"/>
        <w:rPr>
          <w:rFonts w:hint="eastAsia"/>
          <w:b/>
          <w:bCs/>
          <w:sz w:val="24"/>
          <w:szCs w:val="24"/>
        </w:rPr>
      </w:pPr>
      <w:r>
        <w:rPr>
          <w:rFonts w:hint="eastAsia"/>
          <w:b/>
          <w:bCs/>
          <w:sz w:val="24"/>
          <w:szCs w:val="24"/>
          <w:lang w:val="en-US" w:eastAsia="zh-CN"/>
        </w:rPr>
        <w:t>审计</w:t>
      </w:r>
      <w:r>
        <w:rPr>
          <w:rFonts w:hint="eastAsia"/>
          <w:b/>
          <w:bCs/>
          <w:sz w:val="24"/>
          <w:szCs w:val="24"/>
        </w:rPr>
        <w:t>取证记录</w:t>
      </w:r>
      <w:r>
        <w:rPr>
          <w:rFonts w:hint="eastAsia"/>
          <w:b/>
          <w:bCs/>
          <w:sz w:val="24"/>
          <w:szCs w:val="24"/>
          <w:lang w:val="en-US" w:eastAsia="zh-CN"/>
        </w:rPr>
        <w:t>管理</w:t>
      </w:r>
    </w:p>
    <w:p>
      <w:pPr>
        <w:spacing w:line="360" w:lineRule="auto"/>
        <w:ind w:firstLine="420" w:firstLineChars="0"/>
        <w:rPr>
          <w:sz w:val="24"/>
          <w:szCs w:val="24"/>
        </w:rPr>
      </w:pPr>
      <w:r>
        <w:rPr>
          <w:rFonts w:hint="eastAsia"/>
          <w:sz w:val="24"/>
          <w:szCs w:val="24"/>
        </w:rPr>
        <w:t>记录和管理审计过程中的取证记录和相关文件。提供功能以创建、编辑和删除取证记录，并记录取证的时间、方式和结果。支持审计人员之间的协作和共享，以便共同整理取证记录和文件。</w:t>
      </w:r>
    </w:p>
    <w:p>
      <w:pPr>
        <w:numPr>
          <w:ilvl w:val="0"/>
          <w:numId w:val="10"/>
        </w:numPr>
        <w:spacing w:line="360" w:lineRule="auto"/>
        <w:ind w:firstLine="482" w:firstLineChars="200"/>
        <w:rPr>
          <w:rFonts w:hint="eastAsia"/>
          <w:b/>
          <w:bCs/>
          <w:sz w:val="24"/>
          <w:szCs w:val="24"/>
        </w:rPr>
      </w:pPr>
      <w:r>
        <w:rPr>
          <w:rFonts w:hint="eastAsia"/>
          <w:b/>
          <w:bCs/>
          <w:sz w:val="24"/>
          <w:szCs w:val="24"/>
          <w:lang w:val="en-US" w:eastAsia="zh-CN"/>
        </w:rPr>
        <w:t>审计工作</w:t>
      </w:r>
      <w:r>
        <w:rPr>
          <w:rFonts w:hint="eastAsia"/>
          <w:b/>
          <w:bCs/>
          <w:sz w:val="24"/>
          <w:szCs w:val="24"/>
        </w:rPr>
        <w:t>底稿</w:t>
      </w:r>
      <w:r>
        <w:rPr>
          <w:rFonts w:hint="eastAsia"/>
          <w:b/>
          <w:bCs/>
          <w:sz w:val="24"/>
          <w:szCs w:val="24"/>
          <w:lang w:val="en-US" w:eastAsia="zh-CN"/>
        </w:rPr>
        <w:t>管理</w:t>
      </w:r>
    </w:p>
    <w:p>
      <w:pPr>
        <w:spacing w:line="360" w:lineRule="auto"/>
        <w:ind w:firstLine="420" w:firstLineChars="0"/>
        <w:rPr>
          <w:sz w:val="24"/>
          <w:szCs w:val="24"/>
        </w:rPr>
      </w:pPr>
      <w:r>
        <w:rPr>
          <w:rFonts w:hint="eastAsia"/>
          <w:sz w:val="24"/>
          <w:szCs w:val="24"/>
        </w:rPr>
        <w:t>创建和管理审计工作底稿，包括审计程序、检查步骤和工作结果等。提供底稿的模板和工具，以便审计人员按照规定的格式和标准编制工作底稿。记录底稿的版本历史和修改记录，以便追溯和底稿的演进。</w:t>
      </w:r>
    </w:p>
    <w:p>
      <w:pPr>
        <w:numPr>
          <w:ilvl w:val="0"/>
          <w:numId w:val="10"/>
        </w:numPr>
        <w:spacing w:line="360" w:lineRule="auto"/>
        <w:ind w:firstLine="482" w:firstLineChars="200"/>
        <w:rPr>
          <w:rFonts w:hint="eastAsia"/>
          <w:b/>
          <w:bCs/>
          <w:sz w:val="24"/>
          <w:szCs w:val="24"/>
        </w:rPr>
      </w:pPr>
      <w:r>
        <w:rPr>
          <w:rFonts w:hint="eastAsia"/>
          <w:b/>
          <w:bCs/>
          <w:sz w:val="24"/>
          <w:szCs w:val="24"/>
          <w:lang w:val="en-US" w:eastAsia="zh-CN"/>
        </w:rPr>
        <w:t>审计</w:t>
      </w:r>
      <w:r>
        <w:rPr>
          <w:rFonts w:hint="eastAsia"/>
          <w:b/>
          <w:bCs/>
          <w:sz w:val="24"/>
          <w:szCs w:val="24"/>
        </w:rPr>
        <w:t>征求意见稿</w:t>
      </w:r>
      <w:r>
        <w:rPr>
          <w:rFonts w:hint="eastAsia"/>
          <w:b/>
          <w:bCs/>
          <w:sz w:val="24"/>
          <w:szCs w:val="24"/>
          <w:lang w:val="en-US" w:eastAsia="zh-CN"/>
        </w:rPr>
        <w:t>管理</w:t>
      </w:r>
    </w:p>
    <w:p>
      <w:pPr>
        <w:spacing w:line="360" w:lineRule="auto"/>
        <w:ind w:firstLine="420" w:firstLineChars="0"/>
        <w:rPr>
          <w:sz w:val="24"/>
          <w:szCs w:val="24"/>
        </w:rPr>
      </w:pPr>
      <w:r>
        <w:rPr>
          <w:rFonts w:hint="eastAsia"/>
          <w:sz w:val="24"/>
          <w:szCs w:val="24"/>
        </w:rPr>
        <w:t>支持编制审计报告的征求意见稿，并记录相关方的意见和建议。提供功能以创建、编辑和删除征求意见稿。记录征求意见稿的相关信息和意见收集的状态，以便及时跟进和处理。</w:t>
      </w:r>
    </w:p>
    <w:p>
      <w:pPr>
        <w:numPr>
          <w:ilvl w:val="0"/>
          <w:numId w:val="10"/>
        </w:numPr>
        <w:spacing w:line="360" w:lineRule="auto"/>
        <w:ind w:firstLine="482" w:firstLineChars="200"/>
        <w:rPr>
          <w:rFonts w:hint="eastAsia"/>
          <w:b/>
          <w:bCs/>
          <w:sz w:val="24"/>
          <w:szCs w:val="24"/>
        </w:rPr>
      </w:pPr>
      <w:r>
        <w:rPr>
          <w:rFonts w:hint="eastAsia"/>
          <w:b/>
          <w:bCs/>
          <w:sz w:val="24"/>
          <w:szCs w:val="24"/>
        </w:rPr>
        <w:t>审计报告</w:t>
      </w:r>
      <w:r>
        <w:rPr>
          <w:rFonts w:hint="eastAsia"/>
          <w:b/>
          <w:bCs/>
          <w:sz w:val="24"/>
          <w:szCs w:val="24"/>
          <w:lang w:val="en-US" w:eastAsia="zh-CN"/>
        </w:rPr>
        <w:t>管理</w:t>
      </w:r>
    </w:p>
    <w:p>
      <w:pPr>
        <w:spacing w:line="360" w:lineRule="auto"/>
        <w:ind w:firstLine="420" w:firstLineChars="0"/>
        <w:rPr>
          <w:rFonts w:hint="eastAsia"/>
          <w:sz w:val="24"/>
          <w:szCs w:val="24"/>
        </w:rPr>
      </w:pPr>
      <w:r>
        <w:rPr>
          <w:rFonts w:hint="eastAsia"/>
          <w:sz w:val="24"/>
          <w:szCs w:val="24"/>
        </w:rPr>
        <w:t>编制和生成最终的审计报告，总结审计过程和结果。提供审计报告的模板和工具，以便审计人员按照规定的格式和标准编制报告。记录审计报告的版本历史和修改记录，以便追溯和报告的演进。支持审计报告的审核、批准和分发，确保报告的准确性和及时性。</w:t>
      </w:r>
    </w:p>
    <w:p>
      <w:pPr>
        <w:numPr>
          <w:ilvl w:val="0"/>
          <w:numId w:val="10"/>
        </w:numPr>
        <w:spacing w:line="360" w:lineRule="auto"/>
        <w:ind w:firstLine="482" w:firstLineChars="200"/>
        <w:rPr>
          <w:rFonts w:hint="eastAsia"/>
          <w:b/>
          <w:bCs/>
          <w:sz w:val="24"/>
          <w:szCs w:val="24"/>
        </w:rPr>
      </w:pPr>
      <w:r>
        <w:rPr>
          <w:rFonts w:hint="eastAsia"/>
          <w:b/>
          <w:bCs/>
          <w:sz w:val="24"/>
          <w:szCs w:val="24"/>
        </w:rPr>
        <w:t>审计周报</w:t>
      </w:r>
      <w:r>
        <w:rPr>
          <w:rFonts w:hint="eastAsia"/>
          <w:b/>
          <w:bCs/>
          <w:sz w:val="24"/>
          <w:szCs w:val="24"/>
          <w:lang w:val="en-US" w:eastAsia="zh-CN"/>
        </w:rPr>
        <w:t>管理</w:t>
      </w:r>
    </w:p>
    <w:p>
      <w:pPr>
        <w:spacing w:line="360" w:lineRule="auto"/>
        <w:ind w:firstLine="420" w:firstLineChars="0"/>
        <w:rPr>
          <w:sz w:val="24"/>
          <w:szCs w:val="24"/>
        </w:rPr>
      </w:pPr>
      <w:r>
        <w:rPr>
          <w:rFonts w:hint="eastAsia"/>
          <w:sz w:val="24"/>
          <w:szCs w:val="24"/>
        </w:rPr>
        <w:t>编制和管理审计周报，汇报审计进展情况和重要发现。记录周报的内容、日期和汇报人员，并提供周报的历史记录和归档。支持周报的分发和共享，使相关人员可以及时了解审计项目的进展情况。</w:t>
      </w:r>
    </w:p>
    <w:p>
      <w:pPr>
        <w:pStyle w:val="2"/>
      </w:pPr>
    </w:p>
    <w:p>
      <w:pPr>
        <w:pStyle w:val="7"/>
        <w:rPr>
          <w:rFonts w:hint="eastAsia" w:ascii="Times New Roman" w:hAnsi="Times New Roman" w:eastAsia="宋体" w:cs="Times New Roman"/>
          <w:b/>
          <w:bCs/>
          <w:kern w:val="2"/>
          <w:sz w:val="24"/>
          <w:szCs w:val="24"/>
          <w:lang w:val="en-US" w:eastAsia="zh-CN" w:bidi="ar-SA"/>
        </w:rPr>
      </w:pPr>
      <w:bookmarkStart w:id="48" w:name="_Toc11859"/>
      <w:r>
        <w:rPr>
          <w:rFonts w:hint="eastAsia" w:cs="Times New Roman"/>
          <w:b/>
          <w:bCs/>
          <w:kern w:val="2"/>
          <w:sz w:val="24"/>
          <w:szCs w:val="24"/>
          <w:lang w:val="en-US" w:eastAsia="zh-CN" w:bidi="ar-SA"/>
        </w:rPr>
        <w:t>数据需求</w:t>
      </w:r>
      <w:bookmarkEnd w:id="48"/>
    </w:p>
    <w:p>
      <w:pPr>
        <w:pStyle w:val="5"/>
        <w:rPr>
          <w:rFonts w:hint="default"/>
          <w:lang w:val="en-US" w:eastAsia="zh-CN"/>
        </w:rPr>
      </w:pPr>
      <w:r>
        <w:rPr>
          <w:rFonts w:hint="eastAsia" w:cs="Times New Roman"/>
          <w:b/>
          <w:bCs/>
          <w:kern w:val="2"/>
          <w:sz w:val="24"/>
          <w:szCs w:val="24"/>
          <w:lang w:val="en-US" w:eastAsia="zh-CN" w:bidi="ar-SA"/>
        </w:rPr>
        <w:t>1、审计项目数据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审计</w:t>
            </w:r>
            <w:r>
              <w:rPr>
                <w:rFonts w:hint="eastAsia" w:ascii="仿宋" w:hAnsi="仿宋" w:cs="仿宋"/>
                <w:color w:val="000000"/>
                <w:sz w:val="24"/>
                <w:szCs w:val="24"/>
              </w:rPr>
              <w:t>项目</w:t>
            </w:r>
            <w:r>
              <w:rPr>
                <w:rFonts w:hint="eastAsia" w:ascii="仿宋" w:hAnsi="仿宋" w:cs="仿宋"/>
                <w:color w:val="000000"/>
                <w:sz w:val="24"/>
                <w:szCs w:val="24"/>
                <w:lang w:val="en-US" w:eastAsia="zh-CN"/>
              </w:rPr>
              <w:t>基本数据表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rPr>
              <w:t>项目编号，根据编号规则自动生成</w:t>
            </w:r>
            <w:r>
              <w:rPr>
                <w:rFonts w:hint="eastAsia" w:ascii="仿宋" w:hAnsi="仿宋" w:cs="仿宋"/>
                <w:color w:val="000000"/>
                <w:sz w:val="21"/>
                <w:szCs w:val="21"/>
                <w:lang w:eastAsia="zh-CN"/>
              </w:rPr>
              <w:t>、</w:t>
            </w:r>
            <w:r>
              <w:rPr>
                <w:rFonts w:hint="eastAsia" w:ascii="仿宋" w:hAnsi="仿宋" w:cs="仿宋"/>
                <w:color w:val="000000"/>
                <w:sz w:val="21"/>
                <w:szCs w:val="21"/>
                <w:lang w:val="en-US" w:eastAsia="zh-CN"/>
              </w:rPr>
              <w:t>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项目名称</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显示审计项目名称信息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项目目标</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显示审计项目目标信息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审计范围</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显示审计项目范围信息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计划阶段</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显示审计项目计划实施时间信息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审计组组长</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显示审计组组长名称信息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审计组成员</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显示审计组其他成员信息</w:t>
            </w:r>
          </w:p>
        </w:tc>
      </w:tr>
    </w:tbl>
    <w:p>
      <w:pPr>
        <w:pStyle w:val="5"/>
        <w:rPr>
          <w:rFonts w:hint="default"/>
          <w:lang w:val="en-US" w:eastAsia="zh-CN"/>
        </w:rPr>
      </w:pPr>
      <w:r>
        <w:rPr>
          <w:rFonts w:hint="eastAsia" w:cs="Times New Roman"/>
          <w:b/>
          <w:bCs/>
          <w:kern w:val="2"/>
          <w:sz w:val="24"/>
          <w:szCs w:val="24"/>
          <w:lang w:val="en-US" w:eastAsia="zh-CN" w:bidi="ar-SA"/>
        </w:rPr>
        <w:t>2、审计项目台账</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资料清单页面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用于唯一标识每个资料的编号或代码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所属项目</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批次号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显示所属批次号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资料类别</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如文件、电子邮件、合同、报告等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资料明细</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显示详细资料名称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资料提供部门/单位</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w:t>
            </w:r>
            <w:r>
              <w:rPr>
                <w:rFonts w:hint="eastAsia" w:ascii="仿宋" w:hAnsi="仿宋" w:cs="仿宋"/>
                <w:color w:val="000000"/>
                <w:sz w:val="21"/>
                <w:szCs w:val="21"/>
              </w:rPr>
              <w:t>记录资料的</w:t>
            </w:r>
            <w:r>
              <w:rPr>
                <w:rFonts w:hint="eastAsia" w:ascii="仿宋" w:hAnsi="仿宋" w:cs="仿宋"/>
                <w:color w:val="000000"/>
                <w:sz w:val="21"/>
                <w:szCs w:val="21"/>
                <w:lang w:val="en-US" w:eastAsia="zh-CN"/>
              </w:rPr>
              <w:t>提供部门信息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资料负责人</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负责管理该资料的主要责任人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资料提供时限</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显示资料提供的时间要求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需提供资料清单备注</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显示备注信息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实际提供的原件资料名称</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显示实际提供的资料名称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实际提供的原件资料份数</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显示资料提供的份数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实际提供资料备注</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显示实际提供资料的备注信息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提供资料方式</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显示资料提供的方式信息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未提供资料的相关说明</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显示未提供资料的说明信息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审批分管领导</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显示分管领导审批信息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审批日期</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显示审批日期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部门负责人</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显示部门负责人信息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经办人</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显示经办人信息</w:t>
            </w:r>
          </w:p>
        </w:tc>
      </w:tr>
    </w:tbl>
    <w:p>
      <w:pPr>
        <w:pStyle w:val="5"/>
        <w:rPr>
          <w:rFonts w:hint="eastAsia" w:cs="Times New Roman"/>
          <w:b/>
          <w:bCs/>
          <w:kern w:val="2"/>
          <w:sz w:val="24"/>
          <w:szCs w:val="24"/>
          <w:lang w:val="en-US" w:eastAsia="zh-CN" w:bidi="ar-SA"/>
        </w:rPr>
      </w:pPr>
    </w:p>
    <w:p>
      <w:pPr>
        <w:pStyle w:val="5"/>
        <w:rPr>
          <w:rFonts w:hint="default"/>
          <w:lang w:val="en-US" w:eastAsia="zh-CN"/>
        </w:rPr>
      </w:pPr>
      <w:r>
        <w:rPr>
          <w:rFonts w:hint="eastAsia" w:cs="Times New Roman"/>
          <w:b/>
          <w:bCs/>
          <w:kern w:val="2"/>
          <w:sz w:val="24"/>
          <w:szCs w:val="24"/>
          <w:lang w:val="en-US" w:eastAsia="zh-CN" w:bidi="ar-SA"/>
        </w:rPr>
        <w:t>3、审计资料清单数据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rPr>
              <w:t>审计</w:t>
            </w:r>
            <w:r>
              <w:rPr>
                <w:rFonts w:hint="eastAsia" w:ascii="仿宋" w:hAnsi="仿宋" w:cs="仿宋"/>
                <w:color w:val="000000"/>
                <w:sz w:val="24"/>
                <w:szCs w:val="24"/>
                <w:lang w:val="en-US" w:eastAsia="zh-CN"/>
              </w:rPr>
              <w:t>资料清单数据表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根据编号规则自动生成，唯一性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资料需求审计小组</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显示资料需求审计小组信息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资料需求人</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显示资料需求人信息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资料类别</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显示资料类别信息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资料名称</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显示资料名称信息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资料提供部门/单位</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显示资料提供部门/单位信息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提供日期</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显示资料提供日期信息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eastAsia="宋体" w:cs="仿宋"/>
                <w:color w:val="000000"/>
                <w:sz w:val="24"/>
                <w:szCs w:val="24"/>
                <w:lang w:eastAsia="zh-CN"/>
              </w:rPr>
            </w:pPr>
            <w:r>
              <w:rPr>
                <w:rFonts w:hint="eastAsia" w:ascii="仿宋" w:hAnsi="仿宋" w:cs="仿宋"/>
                <w:color w:val="000000"/>
                <w:sz w:val="24"/>
                <w:szCs w:val="24"/>
                <w:lang w:val="en-US" w:eastAsia="zh-CN"/>
              </w:rPr>
              <w:t>附件</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显示提供的资料附件详情信息，支持word、excel、pdf等格式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eastAsia="宋体" w:cs="仿宋"/>
                <w:color w:val="000000"/>
                <w:sz w:val="24"/>
                <w:szCs w:val="24"/>
                <w:lang w:eastAsia="zh-CN"/>
              </w:rPr>
            </w:pPr>
            <w:r>
              <w:rPr>
                <w:rFonts w:hint="eastAsia" w:ascii="仿宋" w:hAnsi="仿宋" w:cs="仿宋"/>
                <w:color w:val="000000"/>
                <w:sz w:val="24"/>
                <w:szCs w:val="24"/>
                <w:lang w:val="en-US" w:eastAsia="zh-CN"/>
              </w:rPr>
              <w:t>备注</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显示其他备注信息</w:t>
            </w:r>
          </w:p>
        </w:tc>
      </w:tr>
    </w:tbl>
    <w:p>
      <w:pPr>
        <w:pStyle w:val="5"/>
        <w:rPr>
          <w:rFonts w:hint="eastAsia" w:cs="Times New Roman"/>
          <w:b/>
          <w:bCs/>
          <w:kern w:val="2"/>
          <w:sz w:val="24"/>
          <w:szCs w:val="24"/>
          <w:lang w:val="en-US" w:eastAsia="zh-CN" w:bidi="ar-SA"/>
        </w:rPr>
      </w:pPr>
    </w:p>
    <w:p>
      <w:pPr>
        <w:pStyle w:val="5"/>
        <w:rPr>
          <w:rFonts w:hint="default"/>
          <w:lang w:val="en-US" w:eastAsia="zh-CN"/>
        </w:rPr>
      </w:pPr>
      <w:r>
        <w:rPr>
          <w:rFonts w:hint="eastAsia" w:cs="Times New Roman"/>
          <w:b/>
          <w:bCs/>
          <w:kern w:val="2"/>
          <w:sz w:val="24"/>
          <w:szCs w:val="24"/>
          <w:lang w:val="en-US" w:eastAsia="zh-CN" w:bidi="ar-SA"/>
        </w:rPr>
        <w:t>4、审计报告数据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rPr>
              <w:t>审计报告</w:t>
            </w:r>
            <w:r>
              <w:rPr>
                <w:rFonts w:hint="eastAsia" w:ascii="仿宋" w:hAnsi="仿宋" w:cs="仿宋"/>
                <w:color w:val="000000"/>
                <w:sz w:val="24"/>
                <w:szCs w:val="24"/>
                <w:lang w:val="en-US" w:eastAsia="zh-CN"/>
              </w:rPr>
              <w:t>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根据编码规则自动生成，唯一性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所属项目</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显示审计报告所属审计项目名称信息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报告号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根据编码规则自动生成，唯一性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被审计对象</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显示被审计对象信息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报告附件</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显示审计报告完整文本附件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征求意见书附件</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显示审计报告征求意见书附件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报告日期</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显示设计报告出具日期信息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党委会提案</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显示党委会关于审计报告的研究讨论记录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rPr>
              <w:t>董事会</w:t>
            </w:r>
            <w:r>
              <w:rPr>
                <w:rFonts w:hint="eastAsia" w:ascii="仿宋" w:hAnsi="仿宋" w:cs="仿宋"/>
                <w:color w:val="000000"/>
                <w:sz w:val="24"/>
                <w:szCs w:val="24"/>
                <w:lang w:val="en-US" w:eastAsia="zh-CN"/>
              </w:rPr>
              <w:t>审议记录</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显示董事会关于审计报告审议的记录</w:t>
            </w:r>
          </w:p>
        </w:tc>
      </w:tr>
    </w:tbl>
    <w:p>
      <w:pPr>
        <w:pStyle w:val="5"/>
        <w:rPr>
          <w:rFonts w:hint="default"/>
          <w:lang w:val="en-US" w:eastAsia="zh-CN"/>
        </w:rPr>
      </w:pPr>
      <w:r>
        <w:rPr>
          <w:rFonts w:hint="eastAsia" w:cs="Times New Roman"/>
          <w:b/>
          <w:bCs/>
          <w:kern w:val="2"/>
          <w:sz w:val="24"/>
          <w:szCs w:val="24"/>
          <w:lang w:val="en-US" w:eastAsia="zh-CN" w:bidi="ar-SA"/>
        </w:rPr>
        <w:t>5、审计通知书数据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rPr>
              <w:t>审计</w:t>
            </w:r>
            <w:r>
              <w:rPr>
                <w:rFonts w:hint="eastAsia" w:ascii="仿宋" w:hAnsi="仿宋" w:cs="仿宋"/>
                <w:color w:val="000000"/>
                <w:sz w:val="24"/>
                <w:szCs w:val="24"/>
                <w:lang w:val="en-US" w:eastAsia="zh-CN"/>
              </w:rPr>
              <w:t>通知书数据表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根据编码规则自动生成，唯一性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eastAsia" w:ascii="仿宋" w:hAnsi="仿宋" w:eastAsia="宋体" w:cs="仿宋"/>
                <w:color w:val="000000"/>
                <w:sz w:val="24"/>
                <w:szCs w:val="24"/>
                <w:lang w:val="en-US" w:eastAsia="zh-CN"/>
              </w:rPr>
            </w:pPr>
            <w:r>
              <w:rPr>
                <w:rFonts w:hint="eastAsia" w:ascii="仿宋" w:hAnsi="仿宋" w:cs="仿宋"/>
                <w:color w:val="000000"/>
                <w:sz w:val="24"/>
                <w:szCs w:val="24"/>
              </w:rPr>
              <w:t>项目</w:t>
            </w:r>
            <w:r>
              <w:rPr>
                <w:rFonts w:hint="eastAsia" w:ascii="仿宋" w:hAnsi="仿宋" w:cs="仿宋"/>
                <w:color w:val="000000"/>
                <w:sz w:val="24"/>
                <w:szCs w:val="24"/>
                <w:lang w:val="en-US" w:eastAsia="zh-CN"/>
              </w:rPr>
              <w:t>名称</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显示审计项目名称信息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报告号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根据编码规则自动生成，唯一性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被审计对象</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显示被审计对象信息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审计范围</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显示审计报范围信息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审计内容</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显示审计内容信息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审计实施时间</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显示审计实施时间信息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需要被审计对象提供的资料</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显示需被审计对象提供的资料清单信息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审计组成员</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显示审计组成员信息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cs="仿宋"/>
                <w:color w:val="000000"/>
                <w:sz w:val="24"/>
                <w:szCs w:val="24"/>
                <w:lang w:val="en-US" w:eastAsia="zh-CN"/>
              </w:rPr>
            </w:pPr>
            <w:r>
              <w:rPr>
                <w:rFonts w:hint="eastAsia" w:ascii="仿宋" w:hAnsi="仿宋" w:cs="仿宋"/>
                <w:color w:val="000000"/>
                <w:sz w:val="24"/>
                <w:szCs w:val="24"/>
                <w:lang w:val="en-US" w:eastAsia="zh-CN"/>
              </w:rPr>
              <w:t>签发日期</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cs="仿宋"/>
                <w:color w:val="000000"/>
                <w:sz w:val="24"/>
                <w:szCs w:val="24"/>
                <w:lang w:val="en-US" w:eastAsia="zh-CN"/>
              </w:rPr>
            </w:pPr>
            <w:r>
              <w:rPr>
                <w:rFonts w:hint="eastAsia" w:ascii="仿宋" w:hAnsi="仿宋" w:cs="仿宋"/>
                <w:color w:val="000000"/>
                <w:sz w:val="24"/>
                <w:szCs w:val="24"/>
                <w:lang w:val="en-US" w:eastAsia="zh-CN"/>
              </w:rPr>
              <w:t>显示审计通知书签发日期</w:t>
            </w:r>
          </w:p>
        </w:tc>
      </w:tr>
    </w:tbl>
    <w:p>
      <w:pPr>
        <w:pStyle w:val="5"/>
        <w:rPr>
          <w:rFonts w:hint="eastAsia"/>
          <w:lang w:val="en-US" w:eastAsia="zh-CN"/>
        </w:rPr>
      </w:pPr>
    </w:p>
    <w:p>
      <w:pPr>
        <w:pStyle w:val="7"/>
        <w:rPr>
          <w:rFonts w:hint="eastAsia" w:ascii="Times New Roman" w:hAnsi="Times New Roman" w:eastAsia="宋体" w:cs="Times New Roman"/>
          <w:b/>
          <w:bCs/>
          <w:kern w:val="2"/>
          <w:sz w:val="24"/>
          <w:szCs w:val="24"/>
          <w:lang w:val="en-US" w:eastAsia="zh-CN" w:bidi="ar-SA"/>
        </w:rPr>
      </w:pPr>
      <w:bookmarkStart w:id="49" w:name="_Toc24053"/>
      <w:r>
        <w:rPr>
          <w:rFonts w:hint="eastAsia" w:cs="Times New Roman"/>
          <w:b/>
          <w:bCs/>
          <w:kern w:val="2"/>
          <w:sz w:val="24"/>
          <w:szCs w:val="24"/>
          <w:lang w:val="en-US" w:eastAsia="zh-CN" w:bidi="ar-SA"/>
        </w:rPr>
        <w:t>权限需求</w:t>
      </w:r>
      <w:bookmarkEnd w:id="49"/>
    </w:p>
    <w:tbl>
      <w:tblPr>
        <w:tblStyle w:val="34"/>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843"/>
        <w:gridCol w:w="1701"/>
        <w:gridCol w:w="1984"/>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84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模块</w:t>
            </w:r>
          </w:p>
        </w:tc>
        <w:tc>
          <w:tcPr>
            <w:tcW w:w="1701"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菜单权限</w:t>
            </w:r>
          </w:p>
        </w:tc>
        <w:tc>
          <w:tcPr>
            <w:tcW w:w="1984"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按钮权限</w:t>
            </w:r>
          </w:p>
        </w:tc>
        <w:tc>
          <w:tcPr>
            <w:tcW w:w="269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数据权限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1</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项目列表</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2</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收集资料</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lang w:eastAsia="zh-CN"/>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3</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取证记录</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4</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工作底稿</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5</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审计周报</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6</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审计报告</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bl>
    <w:p>
      <w:pPr>
        <w:pStyle w:val="5"/>
        <w:rPr>
          <w:rFonts w:hint="eastAsia"/>
          <w:lang w:val="en-US" w:eastAsia="zh-CN"/>
        </w:rPr>
      </w:pPr>
    </w:p>
    <w:p>
      <w:pPr>
        <w:pStyle w:val="6"/>
        <w:rPr>
          <w:rFonts w:hint="eastAsia" w:cs="Times New Roman" w:asciiTheme="minorEastAsia" w:hAnsiTheme="minorEastAsia" w:eastAsiaTheme="minorEastAsia"/>
          <w:b/>
          <w:bCs/>
          <w:kern w:val="2"/>
          <w:sz w:val="24"/>
          <w:szCs w:val="24"/>
          <w:lang w:val="en-US" w:eastAsia="zh-CN" w:bidi="ar-SA"/>
        </w:rPr>
      </w:pPr>
      <w:bookmarkStart w:id="50" w:name="_Toc17217"/>
      <w:r>
        <w:rPr>
          <w:rFonts w:hint="eastAsia" w:cs="Times New Roman" w:asciiTheme="minorEastAsia" w:hAnsiTheme="minorEastAsia" w:eastAsiaTheme="minorEastAsia"/>
          <w:b/>
          <w:bCs/>
          <w:kern w:val="2"/>
          <w:sz w:val="24"/>
          <w:szCs w:val="24"/>
          <w:lang w:val="en-US" w:eastAsia="zh-CN" w:bidi="ar-SA"/>
        </w:rPr>
        <w:t>审计整改管理</w:t>
      </w:r>
      <w:bookmarkEnd w:id="50"/>
    </w:p>
    <w:p>
      <w:pPr>
        <w:pStyle w:val="7"/>
      </w:pPr>
      <w:bookmarkStart w:id="51" w:name="_Toc15733"/>
      <w:r>
        <w:rPr>
          <w:rFonts w:hint="eastAsia"/>
          <w:lang w:val="en-US" w:eastAsia="zh-CN"/>
        </w:rPr>
        <w:t>功能描述</w:t>
      </w:r>
      <w:bookmarkEnd w:id="51"/>
    </w:p>
    <w:p>
      <w:pPr>
        <w:spacing w:line="360" w:lineRule="auto"/>
        <w:ind w:firstLine="480" w:firstLineChars="200"/>
        <w:rPr>
          <w:sz w:val="24"/>
          <w:szCs w:val="24"/>
        </w:rPr>
      </w:pPr>
      <w:r>
        <w:rPr>
          <w:rFonts w:hint="eastAsia"/>
          <w:sz w:val="24"/>
          <w:szCs w:val="24"/>
        </w:rPr>
        <w:t>包括整改任务、整改任务分解清单、整改情况表、整改报告和跟踪整改情况等子模块。下面对每个子模块进行详细描述：</w:t>
      </w:r>
    </w:p>
    <w:p>
      <w:pPr>
        <w:numPr>
          <w:ilvl w:val="0"/>
          <w:numId w:val="11"/>
        </w:numPr>
        <w:spacing w:line="360" w:lineRule="auto"/>
        <w:ind w:firstLine="482" w:firstLineChars="200"/>
        <w:rPr>
          <w:rFonts w:hint="eastAsia"/>
          <w:b/>
          <w:bCs/>
          <w:sz w:val="24"/>
          <w:szCs w:val="24"/>
        </w:rPr>
      </w:pPr>
      <w:r>
        <w:rPr>
          <w:rFonts w:hint="eastAsia"/>
          <w:b/>
          <w:bCs/>
          <w:sz w:val="24"/>
          <w:szCs w:val="24"/>
        </w:rPr>
        <w:t>整改任务</w:t>
      </w:r>
    </w:p>
    <w:p>
      <w:pPr>
        <w:spacing w:line="360" w:lineRule="auto"/>
        <w:ind w:firstLine="420" w:firstLineChars="0"/>
        <w:rPr>
          <w:sz w:val="24"/>
          <w:szCs w:val="24"/>
        </w:rPr>
      </w:pPr>
      <w:r>
        <w:rPr>
          <w:rFonts w:hint="eastAsia"/>
          <w:sz w:val="24"/>
          <w:szCs w:val="24"/>
        </w:rPr>
        <w:t>创建和分配整改任务，将整改方案中的解决方案转化为具体的任务。记录整改任务的基本信息，如任务名称、责任人、计划开始和结束日期等。关联整改任务与相关的审计问题和整改方案，形成任务与问题和方案的关系链。提供任务分配和调整的功能，确保整改任务能够合理分配给相应的责任人。</w:t>
      </w:r>
    </w:p>
    <w:p>
      <w:pPr>
        <w:numPr>
          <w:ilvl w:val="0"/>
          <w:numId w:val="11"/>
        </w:numPr>
        <w:spacing w:line="360" w:lineRule="auto"/>
        <w:ind w:firstLine="482" w:firstLineChars="200"/>
        <w:rPr>
          <w:rFonts w:hint="eastAsia"/>
          <w:b/>
          <w:bCs/>
          <w:sz w:val="24"/>
          <w:szCs w:val="24"/>
        </w:rPr>
      </w:pPr>
      <w:r>
        <w:rPr>
          <w:rFonts w:hint="eastAsia"/>
          <w:b/>
          <w:bCs/>
          <w:sz w:val="24"/>
          <w:szCs w:val="24"/>
        </w:rPr>
        <w:t>整改任务分解清单</w:t>
      </w:r>
    </w:p>
    <w:p>
      <w:pPr>
        <w:spacing w:line="360" w:lineRule="auto"/>
        <w:ind w:firstLine="420" w:firstLineChars="0"/>
        <w:rPr>
          <w:sz w:val="24"/>
          <w:szCs w:val="24"/>
        </w:rPr>
      </w:pPr>
      <w:r>
        <w:rPr>
          <w:rFonts w:hint="eastAsia"/>
          <w:sz w:val="24"/>
          <w:szCs w:val="24"/>
        </w:rPr>
        <w:t>在整改任务下创建和管理分解的具体工作清单，将整改任务分解为可操作的子任务。记录分解清单的基本信息，如清单名称、责任人、计划开始和结束日期等。提供清单项的状态跟踪，以便监控和汇报整改任务的进展情况。支持清单项的分配和调整，以便合理分配工作给相应的责任人。</w:t>
      </w:r>
    </w:p>
    <w:p>
      <w:pPr>
        <w:numPr>
          <w:ilvl w:val="0"/>
          <w:numId w:val="11"/>
        </w:numPr>
        <w:spacing w:line="360" w:lineRule="auto"/>
        <w:ind w:firstLine="482" w:firstLineChars="200"/>
        <w:rPr>
          <w:rFonts w:hint="eastAsia"/>
          <w:b/>
          <w:bCs/>
          <w:sz w:val="24"/>
          <w:szCs w:val="24"/>
        </w:rPr>
      </w:pPr>
      <w:r>
        <w:rPr>
          <w:rFonts w:hint="eastAsia"/>
          <w:b/>
          <w:bCs/>
          <w:sz w:val="24"/>
          <w:szCs w:val="24"/>
        </w:rPr>
        <w:t>整改情况表</w:t>
      </w:r>
    </w:p>
    <w:p>
      <w:pPr>
        <w:spacing w:line="360" w:lineRule="auto"/>
        <w:ind w:firstLine="420" w:firstLineChars="0"/>
        <w:rPr>
          <w:sz w:val="24"/>
          <w:szCs w:val="24"/>
        </w:rPr>
      </w:pPr>
      <w:r>
        <w:rPr>
          <w:rFonts w:hint="eastAsia"/>
          <w:sz w:val="24"/>
          <w:szCs w:val="24"/>
        </w:rPr>
        <w:t>记录整改任务和分解清单的完成情况，以便跟踪整改工作的实际进展。提供整改情况的录入和更新功能，记录实际的完成日期、进度和完成情况说明等。支持审计人员对整改情况的审核和确认，确保整改工作的准确性和合规性。提供整改情况的查询和报表功能，以便生成整改进展的统计和分析报告。</w:t>
      </w:r>
    </w:p>
    <w:p>
      <w:pPr>
        <w:numPr>
          <w:ilvl w:val="0"/>
          <w:numId w:val="11"/>
        </w:numPr>
        <w:spacing w:line="360" w:lineRule="auto"/>
        <w:ind w:firstLine="482" w:firstLineChars="200"/>
        <w:rPr>
          <w:rFonts w:hint="eastAsia"/>
          <w:b/>
          <w:bCs/>
          <w:sz w:val="24"/>
          <w:szCs w:val="24"/>
        </w:rPr>
      </w:pPr>
      <w:r>
        <w:rPr>
          <w:rFonts w:hint="eastAsia"/>
          <w:b/>
          <w:bCs/>
          <w:sz w:val="24"/>
          <w:szCs w:val="24"/>
        </w:rPr>
        <w:t>整改报告</w:t>
      </w:r>
    </w:p>
    <w:p>
      <w:pPr>
        <w:spacing w:line="360" w:lineRule="auto"/>
        <w:ind w:firstLine="420" w:firstLineChars="0"/>
        <w:rPr>
          <w:sz w:val="24"/>
          <w:szCs w:val="24"/>
        </w:rPr>
      </w:pPr>
      <w:r>
        <w:rPr>
          <w:rFonts w:hint="eastAsia"/>
          <w:sz w:val="24"/>
          <w:szCs w:val="24"/>
        </w:rPr>
        <w:t>生成整改工作的最终报告，总结整改任务和分解清单的完成情况。提供整改报告的模板和工具，以便整改负责人按照规定的格式和标准编制报告。记录整改报告的版本历史和修改记录，以便追溯和报告的演进。支持整改报告的审核、批准和分发，确保报告的准确性和及时性。</w:t>
      </w:r>
    </w:p>
    <w:p>
      <w:pPr>
        <w:numPr>
          <w:ilvl w:val="0"/>
          <w:numId w:val="11"/>
        </w:numPr>
        <w:spacing w:line="360" w:lineRule="auto"/>
        <w:ind w:firstLine="482" w:firstLineChars="200"/>
        <w:rPr>
          <w:rFonts w:hint="eastAsia"/>
          <w:b/>
          <w:bCs/>
          <w:sz w:val="24"/>
          <w:szCs w:val="24"/>
        </w:rPr>
      </w:pPr>
      <w:r>
        <w:rPr>
          <w:rFonts w:hint="eastAsia"/>
          <w:b/>
          <w:bCs/>
          <w:sz w:val="24"/>
          <w:szCs w:val="24"/>
        </w:rPr>
        <w:t>跟踪整改情况</w:t>
      </w:r>
    </w:p>
    <w:p>
      <w:pPr>
        <w:spacing w:line="360" w:lineRule="auto"/>
        <w:ind w:firstLine="420" w:firstLineChars="0"/>
        <w:rPr>
          <w:sz w:val="24"/>
          <w:szCs w:val="24"/>
        </w:rPr>
      </w:pPr>
      <w:r>
        <w:rPr>
          <w:rFonts w:hint="eastAsia"/>
          <w:sz w:val="24"/>
          <w:szCs w:val="24"/>
        </w:rPr>
        <w:t>提供整改工作的跟踪和监控功能，确保整改任务按时完成并达到预期效果。记录整改任务的实际进展和完成情况，以便对整改工作进行实时监测。支持对整改任务的进度和质量进行评估和反馈，以便及时调整和改进整改计划。</w:t>
      </w:r>
    </w:p>
    <w:p>
      <w:pPr>
        <w:spacing w:line="360" w:lineRule="auto"/>
        <w:rPr>
          <w:sz w:val="24"/>
          <w:szCs w:val="24"/>
        </w:rPr>
      </w:pPr>
      <w:r>
        <w:rPr>
          <w:rFonts w:hint="eastAsia"/>
          <w:sz w:val="24"/>
          <w:szCs w:val="24"/>
        </w:rPr>
        <w:t>提供整改任务的提醒和通知功能，确保相关人员能够及时了解和响应整改工作的进展。</w:t>
      </w:r>
    </w:p>
    <w:p>
      <w:pPr>
        <w:pStyle w:val="7"/>
        <w:rPr>
          <w:rFonts w:hint="eastAsia" w:ascii="Times New Roman" w:hAnsi="Times New Roman" w:eastAsia="宋体" w:cs="Times New Roman"/>
          <w:b/>
          <w:bCs/>
          <w:kern w:val="2"/>
          <w:sz w:val="24"/>
          <w:szCs w:val="24"/>
          <w:lang w:val="en-US" w:eastAsia="zh-CN" w:bidi="ar-SA"/>
        </w:rPr>
      </w:pPr>
      <w:bookmarkStart w:id="52" w:name="_Toc31868"/>
      <w:r>
        <w:rPr>
          <w:rFonts w:hint="eastAsia" w:cs="Times New Roman"/>
          <w:b/>
          <w:bCs/>
          <w:kern w:val="2"/>
          <w:sz w:val="24"/>
          <w:szCs w:val="24"/>
          <w:lang w:val="en-US" w:eastAsia="zh-CN" w:bidi="ar-SA"/>
        </w:rPr>
        <w:t>数据需求</w:t>
      </w:r>
      <w:bookmarkEnd w:id="52"/>
    </w:p>
    <w:p>
      <w:pPr>
        <w:pStyle w:val="5"/>
        <w:rPr>
          <w:rFonts w:hint="default"/>
          <w:lang w:val="en-US" w:eastAsia="zh-CN"/>
        </w:rPr>
      </w:pPr>
      <w:r>
        <w:rPr>
          <w:rFonts w:hint="eastAsia" w:cs="Times New Roman"/>
          <w:b/>
          <w:bCs/>
          <w:kern w:val="2"/>
          <w:sz w:val="24"/>
          <w:szCs w:val="24"/>
          <w:lang w:val="en-US" w:eastAsia="zh-CN" w:bidi="ar-SA"/>
        </w:rPr>
        <w:t>1、整改任务数据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rPr>
              <w:t>整改任务</w:t>
            </w:r>
            <w:r>
              <w:rPr>
                <w:rFonts w:hint="eastAsia" w:ascii="仿宋" w:hAnsi="仿宋" w:cs="仿宋"/>
                <w:color w:val="000000"/>
                <w:sz w:val="21"/>
                <w:szCs w:val="21"/>
                <w:lang w:val="en-US" w:eastAsia="zh-CN"/>
              </w:rPr>
              <w:t>清单数据表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显示任务编号，根据编号规则自动生成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所属项目</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显示所属</w:t>
            </w:r>
            <w:r>
              <w:rPr>
                <w:rFonts w:hint="eastAsia" w:ascii="仿宋" w:hAnsi="仿宋" w:cs="仿宋"/>
                <w:color w:val="000000"/>
                <w:sz w:val="21"/>
                <w:szCs w:val="21"/>
                <w:lang w:val="en-US" w:eastAsia="zh-CN"/>
              </w:rPr>
              <w:t>审计</w:t>
            </w:r>
            <w:r>
              <w:rPr>
                <w:rFonts w:hint="eastAsia" w:ascii="仿宋" w:hAnsi="仿宋" w:cs="仿宋"/>
                <w:color w:val="000000"/>
                <w:sz w:val="21"/>
                <w:szCs w:val="21"/>
              </w:rPr>
              <w:t>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问题类型</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显示问题类型信息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问题定性</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显示问题定性信息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问题描述</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显示详细问题描述信息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rPr>
              <w:t>问题金额</w:t>
            </w:r>
            <w:r>
              <w:rPr>
                <w:rFonts w:hint="eastAsia" w:ascii="仿宋" w:hAnsi="仿宋" w:cs="仿宋"/>
                <w:color w:val="000000"/>
                <w:sz w:val="21"/>
                <w:szCs w:val="21"/>
                <w:lang w:eastAsia="zh-CN"/>
              </w:rPr>
              <w:t>（</w:t>
            </w:r>
            <w:r>
              <w:rPr>
                <w:rFonts w:hint="eastAsia" w:ascii="仿宋" w:hAnsi="仿宋" w:cs="仿宋"/>
                <w:color w:val="000000"/>
                <w:sz w:val="21"/>
                <w:szCs w:val="21"/>
                <w:lang w:val="en-US" w:eastAsia="zh-CN"/>
              </w:rPr>
              <w:t>万元）</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显示问题涉及金额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定性依据</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显示定性依据信息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审计建议</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显示审计建议信息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整改类型</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立行立改、分阶段整改、持续整改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cs="仿宋"/>
                <w:color w:val="000000"/>
                <w:sz w:val="21"/>
                <w:szCs w:val="21"/>
              </w:rPr>
            </w:pPr>
            <w:r>
              <w:rPr>
                <w:rFonts w:hint="eastAsia" w:ascii="仿宋" w:hAnsi="仿宋" w:cs="仿宋"/>
                <w:color w:val="000000"/>
                <w:sz w:val="21"/>
                <w:szCs w:val="21"/>
              </w:rPr>
              <w:t>整改责任类型</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cs="仿宋"/>
                <w:color w:val="000000"/>
                <w:sz w:val="21"/>
                <w:szCs w:val="21"/>
              </w:rPr>
            </w:pPr>
            <w:r>
              <w:rPr>
                <w:rFonts w:hint="eastAsia" w:ascii="仿宋" w:hAnsi="仿宋" w:cs="仿宋"/>
                <w:color w:val="000000"/>
                <w:sz w:val="21"/>
                <w:szCs w:val="21"/>
              </w:rPr>
              <w:t>直接整改、举一反三全面自查后整改、健全长效机制、提请主管部门或相关部门共同推进整改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责任部门</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显示责任部门信息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责任人</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显示责任人信息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责任领导</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显示责任部门领导信息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分解清单备注</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显示备注信息</w:t>
            </w:r>
          </w:p>
        </w:tc>
      </w:tr>
    </w:tbl>
    <w:p>
      <w:pPr>
        <w:pStyle w:val="5"/>
        <w:rPr>
          <w:rFonts w:hint="default"/>
          <w:lang w:val="en-US" w:eastAsia="zh-CN"/>
        </w:rPr>
      </w:pPr>
      <w:r>
        <w:rPr>
          <w:rFonts w:hint="eastAsia" w:cs="Times New Roman"/>
          <w:b/>
          <w:bCs/>
          <w:kern w:val="2"/>
          <w:sz w:val="24"/>
          <w:szCs w:val="24"/>
          <w:lang w:val="en-US" w:eastAsia="zh-CN" w:bidi="ar-SA"/>
        </w:rPr>
        <w:t>2、整改报告数据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rPr>
              <w:t>整改报告</w:t>
            </w:r>
            <w:r>
              <w:rPr>
                <w:rFonts w:hint="eastAsia" w:ascii="仿宋" w:hAnsi="仿宋" w:cs="仿宋"/>
                <w:color w:val="000000"/>
                <w:sz w:val="21"/>
                <w:szCs w:val="21"/>
                <w:lang w:val="en-US" w:eastAsia="zh-CN"/>
              </w:rPr>
              <w:t>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根据编码规则自动生成，唯一性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报告名称</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显示报告名称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所属项目</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显示审计整改报告包含项目信息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整改自查结果</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显示整改自查结果信息，包含完成整改、完成部分整改、持续整改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整改具体情况</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显示整改具体情况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未完成整改原因</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显示未完成整改的原因描述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下一步整改措施</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显示下一步整改措施描述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整改计划</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显示下一步整改时间计划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附件</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显示审计整改报告附件</w:t>
            </w:r>
          </w:p>
        </w:tc>
      </w:tr>
    </w:tbl>
    <w:p>
      <w:pPr>
        <w:pStyle w:val="5"/>
        <w:rPr>
          <w:rFonts w:hint="default"/>
          <w:lang w:val="en-US" w:eastAsia="zh-CN"/>
        </w:rPr>
      </w:pPr>
      <w:r>
        <w:rPr>
          <w:rFonts w:hint="eastAsia" w:cs="Times New Roman"/>
          <w:b/>
          <w:bCs/>
          <w:kern w:val="2"/>
          <w:sz w:val="24"/>
          <w:szCs w:val="24"/>
          <w:lang w:val="en-US" w:eastAsia="zh-CN" w:bidi="ar-SA"/>
        </w:rPr>
        <w:t>3、整改通知数据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rPr>
              <w:t>整改</w:t>
            </w:r>
            <w:r>
              <w:rPr>
                <w:rFonts w:hint="eastAsia" w:ascii="仿宋" w:hAnsi="仿宋" w:cs="仿宋"/>
                <w:color w:val="000000"/>
                <w:sz w:val="21"/>
                <w:szCs w:val="21"/>
                <w:lang w:val="en-US" w:eastAsia="zh-CN"/>
              </w:rPr>
              <w:t>通知书数据表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根据编码规则自动生成，唯一性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所属项目</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显示所属审计项目信息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整改通知单位</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显示整改通知单位信息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整改通知文件名</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显示整改通知文件名称西悉尼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整改通知文件号</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显示整改通知文件号信息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整改责任单位</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显示整改责任单位信息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审计披露问题</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显示审计披露问题描述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提出的建议或处理意见</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显示提出的建议或处理意见信息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整改回复时限</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显示整改回复时限要求信息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具体整改措施及完成时限</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显示具体的整改措施及完成时限要求信息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整改进展情况</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显示整体进展情况信息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业务督导部门审核意见</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显示业务督导部门的审核意见信息</w:t>
            </w:r>
          </w:p>
        </w:tc>
      </w:tr>
    </w:tbl>
    <w:p>
      <w:pPr>
        <w:pStyle w:val="5"/>
        <w:rPr>
          <w:rFonts w:hint="eastAsia"/>
          <w:lang w:val="en-US" w:eastAsia="zh-CN"/>
        </w:rPr>
      </w:pPr>
    </w:p>
    <w:p>
      <w:pPr>
        <w:pStyle w:val="7"/>
        <w:rPr>
          <w:rFonts w:hint="eastAsia" w:ascii="Times New Roman" w:hAnsi="Times New Roman" w:eastAsia="宋体" w:cs="Times New Roman"/>
          <w:b/>
          <w:bCs/>
          <w:kern w:val="2"/>
          <w:sz w:val="24"/>
          <w:szCs w:val="24"/>
          <w:lang w:val="en-US" w:eastAsia="zh-CN" w:bidi="ar-SA"/>
        </w:rPr>
      </w:pPr>
      <w:bookmarkStart w:id="53" w:name="_Toc29364"/>
      <w:r>
        <w:rPr>
          <w:rFonts w:hint="eastAsia" w:cs="Times New Roman"/>
          <w:b/>
          <w:bCs/>
          <w:kern w:val="2"/>
          <w:sz w:val="24"/>
          <w:szCs w:val="24"/>
          <w:lang w:val="en-US" w:eastAsia="zh-CN" w:bidi="ar-SA"/>
        </w:rPr>
        <w:t>权限需求</w:t>
      </w:r>
      <w:bookmarkEnd w:id="53"/>
    </w:p>
    <w:tbl>
      <w:tblPr>
        <w:tblStyle w:val="3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8"/>
        <w:gridCol w:w="1829"/>
        <w:gridCol w:w="1689"/>
        <w:gridCol w:w="1970"/>
        <w:gridCol w:w="2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016" w:type="pct"/>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模块</w:t>
            </w:r>
          </w:p>
        </w:tc>
        <w:tc>
          <w:tcPr>
            <w:tcW w:w="938" w:type="pct"/>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菜单权限</w:t>
            </w:r>
          </w:p>
        </w:tc>
        <w:tc>
          <w:tcPr>
            <w:tcW w:w="1094" w:type="pct"/>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按钮权限</w:t>
            </w:r>
          </w:p>
        </w:tc>
        <w:tc>
          <w:tcPr>
            <w:tcW w:w="1485" w:type="pct"/>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数据权限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1</w:t>
            </w:r>
          </w:p>
        </w:tc>
        <w:tc>
          <w:tcPr>
            <w:tcW w:w="1016"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整改通知</w:t>
            </w:r>
          </w:p>
        </w:tc>
        <w:tc>
          <w:tcPr>
            <w:tcW w:w="938"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094"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485"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1016" w:type="pct"/>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rPr>
              <w:t>整改</w:t>
            </w:r>
            <w:r>
              <w:rPr>
                <w:rFonts w:hint="eastAsia" w:ascii="宋体" w:hAnsi="宋体" w:eastAsia="宋体" w:cs="宋体"/>
                <w:sz w:val="21"/>
                <w:szCs w:val="21"/>
                <w:lang w:val="en-US" w:eastAsia="zh-CN"/>
              </w:rPr>
              <w:t>方案</w:t>
            </w:r>
          </w:p>
        </w:tc>
        <w:tc>
          <w:tcPr>
            <w:tcW w:w="938"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094"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485"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tcPr>
          <w:p>
            <w:pPr>
              <w:spacing w:line="36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3</w:t>
            </w:r>
          </w:p>
        </w:tc>
        <w:tc>
          <w:tcPr>
            <w:tcW w:w="1016"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整改报告</w:t>
            </w:r>
          </w:p>
        </w:tc>
        <w:tc>
          <w:tcPr>
            <w:tcW w:w="938"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094"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485"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tcPr>
          <w:p>
            <w:pPr>
              <w:spacing w:line="360" w:lineRule="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4</w:t>
            </w:r>
          </w:p>
        </w:tc>
        <w:tc>
          <w:tcPr>
            <w:tcW w:w="1016"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整改跟踪</w:t>
            </w:r>
          </w:p>
        </w:tc>
        <w:tc>
          <w:tcPr>
            <w:tcW w:w="938"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094"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485"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bl>
    <w:p>
      <w:pPr>
        <w:pStyle w:val="5"/>
        <w:rPr>
          <w:rFonts w:hint="eastAsia"/>
          <w:lang w:val="en-US" w:eastAsia="zh-CN"/>
        </w:rPr>
      </w:pPr>
    </w:p>
    <w:p>
      <w:pPr>
        <w:pStyle w:val="6"/>
        <w:rPr>
          <w:rFonts w:hint="eastAsia" w:cs="Times New Roman" w:asciiTheme="minorEastAsia" w:hAnsiTheme="minorEastAsia" w:eastAsiaTheme="minorEastAsia"/>
          <w:b/>
          <w:bCs/>
          <w:kern w:val="2"/>
          <w:sz w:val="24"/>
          <w:szCs w:val="24"/>
          <w:lang w:val="en-US" w:eastAsia="zh-CN" w:bidi="ar-SA"/>
        </w:rPr>
      </w:pPr>
      <w:bookmarkStart w:id="54" w:name="_Toc408"/>
      <w:r>
        <w:rPr>
          <w:rFonts w:hint="eastAsia" w:cs="Times New Roman" w:asciiTheme="minorEastAsia" w:hAnsiTheme="minorEastAsia" w:eastAsiaTheme="minorEastAsia"/>
          <w:b/>
          <w:bCs/>
          <w:kern w:val="2"/>
          <w:sz w:val="24"/>
          <w:szCs w:val="24"/>
          <w:lang w:val="en-US" w:eastAsia="zh-CN" w:bidi="ar-SA"/>
        </w:rPr>
        <w:t>审计档案管理</w:t>
      </w:r>
      <w:bookmarkEnd w:id="54"/>
    </w:p>
    <w:p>
      <w:pPr>
        <w:pStyle w:val="7"/>
      </w:pPr>
      <w:bookmarkStart w:id="55" w:name="_Toc7671"/>
      <w:r>
        <w:rPr>
          <w:rFonts w:hint="eastAsia"/>
          <w:lang w:val="en-US" w:eastAsia="zh-CN"/>
        </w:rPr>
        <w:t>功能描述</w:t>
      </w:r>
      <w:bookmarkEnd w:id="55"/>
    </w:p>
    <w:p>
      <w:pPr>
        <w:numPr>
          <w:ilvl w:val="0"/>
          <w:numId w:val="12"/>
        </w:numPr>
        <w:spacing w:line="360" w:lineRule="auto"/>
        <w:ind w:firstLine="482" w:firstLineChars="200"/>
        <w:rPr>
          <w:rFonts w:hint="eastAsia"/>
          <w:b/>
          <w:bCs/>
          <w:sz w:val="24"/>
          <w:szCs w:val="24"/>
        </w:rPr>
      </w:pPr>
      <w:r>
        <w:rPr>
          <w:rFonts w:hint="eastAsia"/>
          <w:b/>
          <w:bCs/>
          <w:sz w:val="24"/>
          <w:szCs w:val="24"/>
        </w:rPr>
        <w:t>项目信息记录</w:t>
      </w:r>
    </w:p>
    <w:p>
      <w:pPr>
        <w:numPr>
          <w:ilvl w:val="0"/>
          <w:numId w:val="0"/>
        </w:numPr>
        <w:spacing w:line="360" w:lineRule="auto"/>
        <w:ind w:firstLine="420" w:firstLineChars="0"/>
        <w:rPr>
          <w:rFonts w:hint="eastAsia"/>
          <w:sz w:val="24"/>
          <w:szCs w:val="24"/>
        </w:rPr>
      </w:pPr>
      <w:r>
        <w:rPr>
          <w:rFonts w:hint="eastAsia"/>
          <w:sz w:val="24"/>
          <w:szCs w:val="24"/>
        </w:rPr>
        <w:t>该功能用于记录审计项目的基本信息，包括项目名称、编号、类别、起止时间、审计对象等。提供项目信息的展示和查看功能。</w:t>
      </w:r>
    </w:p>
    <w:p>
      <w:pPr>
        <w:numPr>
          <w:ilvl w:val="0"/>
          <w:numId w:val="12"/>
        </w:numPr>
        <w:spacing w:line="360" w:lineRule="auto"/>
        <w:ind w:left="0" w:leftChars="0" w:firstLine="482" w:firstLineChars="200"/>
        <w:rPr>
          <w:rFonts w:hint="eastAsia"/>
          <w:b/>
          <w:bCs/>
          <w:sz w:val="24"/>
          <w:szCs w:val="24"/>
        </w:rPr>
      </w:pPr>
      <w:r>
        <w:rPr>
          <w:rFonts w:hint="eastAsia"/>
          <w:b/>
          <w:bCs/>
          <w:sz w:val="24"/>
          <w:szCs w:val="24"/>
        </w:rPr>
        <w:t>项目状态跟踪</w:t>
      </w:r>
    </w:p>
    <w:p>
      <w:pPr>
        <w:numPr>
          <w:ilvl w:val="0"/>
          <w:numId w:val="0"/>
        </w:numPr>
        <w:spacing w:line="360" w:lineRule="auto"/>
        <w:ind w:firstLine="420" w:firstLineChars="0"/>
        <w:rPr>
          <w:rFonts w:hint="eastAsia"/>
          <w:sz w:val="24"/>
          <w:szCs w:val="24"/>
        </w:rPr>
      </w:pPr>
      <w:r>
        <w:rPr>
          <w:rFonts w:hint="eastAsia"/>
          <w:sz w:val="24"/>
          <w:szCs w:val="24"/>
        </w:rPr>
        <w:t>该功能用于实时跟踪和更新审计项目的状态，包括项目的进展、当前阶段等。提供界面展示项目的当前状态和进展情况。</w:t>
      </w:r>
    </w:p>
    <w:p>
      <w:pPr>
        <w:numPr>
          <w:ilvl w:val="0"/>
          <w:numId w:val="12"/>
        </w:numPr>
        <w:spacing w:line="360" w:lineRule="auto"/>
        <w:ind w:left="0" w:leftChars="0" w:firstLine="482" w:firstLineChars="200"/>
        <w:rPr>
          <w:rFonts w:hint="eastAsia"/>
          <w:b/>
          <w:bCs/>
          <w:sz w:val="24"/>
          <w:szCs w:val="24"/>
        </w:rPr>
      </w:pPr>
      <w:r>
        <w:rPr>
          <w:rFonts w:hint="eastAsia"/>
          <w:b/>
          <w:bCs/>
          <w:sz w:val="24"/>
          <w:szCs w:val="24"/>
        </w:rPr>
        <w:t>文件和文档管理</w:t>
      </w:r>
    </w:p>
    <w:p>
      <w:pPr>
        <w:numPr>
          <w:ilvl w:val="0"/>
          <w:numId w:val="0"/>
        </w:numPr>
        <w:spacing w:line="360" w:lineRule="auto"/>
        <w:ind w:firstLine="420" w:firstLineChars="0"/>
      </w:pPr>
      <w:r>
        <w:rPr>
          <w:rFonts w:hint="eastAsia"/>
          <w:sz w:val="24"/>
          <w:szCs w:val="24"/>
        </w:rPr>
        <w:t>该功能用于查看</w:t>
      </w:r>
      <w:r>
        <w:rPr>
          <w:rFonts w:hint="eastAsia"/>
          <w:sz w:val="24"/>
          <w:szCs w:val="24"/>
          <w:lang w:eastAsia="zh-CN"/>
        </w:rPr>
        <w:t>、</w:t>
      </w:r>
      <w:r>
        <w:rPr>
          <w:rFonts w:hint="eastAsia"/>
          <w:sz w:val="24"/>
          <w:szCs w:val="24"/>
          <w:lang w:val="en-US" w:eastAsia="zh-CN"/>
        </w:rPr>
        <w:t>下载</w:t>
      </w:r>
      <w:r>
        <w:rPr>
          <w:rFonts w:hint="eastAsia"/>
          <w:sz w:val="24"/>
          <w:szCs w:val="24"/>
        </w:rPr>
        <w:t>审计项目</w:t>
      </w:r>
      <w:r>
        <w:rPr>
          <w:rFonts w:hint="eastAsia"/>
          <w:sz w:val="24"/>
          <w:szCs w:val="24"/>
          <w:lang w:val="en-US" w:eastAsia="zh-CN"/>
        </w:rPr>
        <w:t>实施全过程</w:t>
      </w:r>
      <w:r>
        <w:rPr>
          <w:rFonts w:hint="eastAsia"/>
          <w:sz w:val="24"/>
          <w:szCs w:val="24"/>
        </w:rPr>
        <w:t>相关的文件，如审计计划、</w:t>
      </w:r>
      <w:r>
        <w:rPr>
          <w:rFonts w:hint="eastAsia"/>
          <w:sz w:val="24"/>
          <w:szCs w:val="24"/>
          <w:lang w:val="en-US" w:eastAsia="zh-CN"/>
        </w:rPr>
        <w:t>审计通知、</w:t>
      </w:r>
      <w:r>
        <w:rPr>
          <w:rFonts w:hint="eastAsia"/>
          <w:sz w:val="24"/>
          <w:szCs w:val="24"/>
        </w:rPr>
        <w:t>工作底稿、</w:t>
      </w:r>
      <w:r>
        <w:rPr>
          <w:rFonts w:hint="eastAsia"/>
          <w:sz w:val="24"/>
          <w:szCs w:val="24"/>
          <w:lang w:val="en-US" w:eastAsia="zh-CN"/>
        </w:rPr>
        <w:t>审计</w:t>
      </w:r>
      <w:r>
        <w:rPr>
          <w:rFonts w:hint="eastAsia"/>
          <w:sz w:val="24"/>
          <w:szCs w:val="24"/>
        </w:rPr>
        <w:t>报告</w:t>
      </w:r>
      <w:r>
        <w:rPr>
          <w:rFonts w:hint="eastAsia"/>
          <w:sz w:val="24"/>
          <w:szCs w:val="24"/>
          <w:lang w:eastAsia="zh-CN"/>
        </w:rPr>
        <w:t>、</w:t>
      </w:r>
      <w:r>
        <w:rPr>
          <w:rFonts w:hint="eastAsia"/>
          <w:sz w:val="24"/>
          <w:szCs w:val="24"/>
          <w:lang w:val="en-US" w:eastAsia="zh-CN"/>
        </w:rPr>
        <w:t>审计整改工作报告</w:t>
      </w:r>
      <w:r>
        <w:rPr>
          <w:rFonts w:hint="eastAsia"/>
          <w:sz w:val="24"/>
          <w:szCs w:val="24"/>
        </w:rPr>
        <w:t>等。提供文件下载功能。支持文件的版本控制和权限管理，确保文件的安全性和可追溯性。提供文件的搜索和查看功能，方便用户检索和浏览所需的文件。</w:t>
      </w:r>
    </w:p>
    <w:p>
      <w:pPr>
        <w:pStyle w:val="7"/>
        <w:rPr>
          <w:rFonts w:hint="eastAsia" w:ascii="Times New Roman" w:hAnsi="Times New Roman" w:eastAsia="宋体" w:cs="Times New Roman"/>
          <w:b/>
          <w:bCs/>
          <w:kern w:val="2"/>
          <w:sz w:val="24"/>
          <w:szCs w:val="24"/>
          <w:lang w:val="en-US" w:eastAsia="zh-CN" w:bidi="ar-SA"/>
        </w:rPr>
      </w:pPr>
      <w:bookmarkStart w:id="56" w:name="_Toc21666"/>
      <w:r>
        <w:rPr>
          <w:rFonts w:hint="eastAsia" w:cs="Times New Roman"/>
          <w:b/>
          <w:bCs/>
          <w:kern w:val="2"/>
          <w:sz w:val="24"/>
          <w:szCs w:val="24"/>
          <w:lang w:val="en-US" w:eastAsia="zh-CN" w:bidi="ar-SA"/>
        </w:rPr>
        <w:t>数据需求</w:t>
      </w:r>
      <w:bookmarkEnd w:id="56"/>
    </w:p>
    <w:p>
      <w:pPr>
        <w:pStyle w:val="5"/>
        <w:rPr>
          <w:rFonts w:hint="default"/>
          <w:lang w:val="en-US" w:eastAsia="zh-CN"/>
        </w:rPr>
      </w:pPr>
      <w:r>
        <w:rPr>
          <w:rFonts w:hint="eastAsia" w:cs="Times New Roman"/>
          <w:b/>
          <w:bCs/>
          <w:kern w:val="2"/>
          <w:sz w:val="24"/>
          <w:szCs w:val="24"/>
          <w:lang w:val="en-US" w:eastAsia="zh-CN" w:bidi="ar-SA"/>
        </w:rPr>
        <w:t>1、项目资料库</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rPr>
              <w:t>项目</w:t>
            </w:r>
            <w:r>
              <w:rPr>
                <w:rFonts w:hint="eastAsia" w:ascii="仿宋" w:hAnsi="仿宋" w:cs="仿宋"/>
                <w:color w:val="000000"/>
                <w:sz w:val="21"/>
                <w:szCs w:val="21"/>
                <w:lang w:val="en-US" w:eastAsia="zh-CN"/>
              </w:rPr>
              <w:t>资料库信息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显示项目编号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项目名称</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显示计划名称信息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审计类别</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如内部审计、外部审计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cs="仿宋"/>
                <w:color w:val="000000"/>
                <w:sz w:val="21"/>
                <w:szCs w:val="21"/>
              </w:rPr>
            </w:pPr>
            <w:r>
              <w:rPr>
                <w:rFonts w:hint="eastAsia" w:ascii="仿宋" w:hAnsi="仿宋" w:cs="仿宋"/>
                <w:color w:val="000000"/>
                <w:sz w:val="21"/>
                <w:szCs w:val="21"/>
              </w:rPr>
              <w:t>项目负责人</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cs="仿宋"/>
                <w:color w:val="000000"/>
                <w:sz w:val="21"/>
                <w:szCs w:val="21"/>
              </w:rPr>
            </w:pPr>
            <w:r>
              <w:rPr>
                <w:rFonts w:hint="eastAsia" w:ascii="仿宋" w:hAnsi="仿宋" w:cs="仿宋"/>
                <w:color w:val="000000"/>
                <w:sz w:val="21"/>
                <w:szCs w:val="21"/>
              </w:rPr>
              <w:t>指定负责管理该审计项目的主要责任人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委托方</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显示委托方信息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被审计单位</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显示被审计单位西悉尼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审计单位</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显示审计单位信息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审计期间</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记录审计项目的开始日期和结束时间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审计范围</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描述审计项目的范围和涉及的业务、流程或部门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cs="仿宋"/>
                <w:color w:val="000000"/>
                <w:sz w:val="21"/>
                <w:szCs w:val="21"/>
              </w:rPr>
            </w:pPr>
            <w:r>
              <w:rPr>
                <w:rFonts w:hint="eastAsia" w:ascii="仿宋" w:hAnsi="仿宋" w:cs="仿宋"/>
                <w:color w:val="000000"/>
                <w:sz w:val="21"/>
                <w:szCs w:val="21"/>
              </w:rPr>
              <w:t>审计报告</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cs="仿宋"/>
                <w:color w:val="000000"/>
                <w:sz w:val="21"/>
                <w:szCs w:val="21"/>
              </w:rPr>
            </w:pPr>
            <w:r>
              <w:rPr>
                <w:rFonts w:hint="eastAsia" w:ascii="仿宋" w:hAnsi="仿宋" w:cs="仿宋"/>
                <w:color w:val="000000"/>
                <w:sz w:val="21"/>
                <w:szCs w:val="21"/>
              </w:rPr>
              <w:t>记录审计项目的报告或文档，包括审计结果、建议和意见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整改报告</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显示审计整改报告信息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cs="仿宋"/>
                <w:color w:val="000000"/>
                <w:sz w:val="21"/>
                <w:szCs w:val="21"/>
              </w:rPr>
            </w:pPr>
            <w:r>
              <w:rPr>
                <w:rFonts w:hint="eastAsia" w:ascii="仿宋" w:hAnsi="仿宋" w:cs="仿宋"/>
                <w:color w:val="000000"/>
                <w:sz w:val="21"/>
                <w:szCs w:val="21"/>
              </w:rPr>
              <w:t>审计发现/问题</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记录在审计过程中发现的问题、异常或潜在风险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备注</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显示其他备注信息</w:t>
            </w:r>
          </w:p>
        </w:tc>
      </w:tr>
    </w:tbl>
    <w:p>
      <w:pPr>
        <w:pStyle w:val="5"/>
        <w:rPr>
          <w:rFonts w:hint="eastAsia"/>
          <w:lang w:val="en-US" w:eastAsia="zh-CN"/>
        </w:rPr>
      </w:pPr>
    </w:p>
    <w:p>
      <w:pPr>
        <w:pStyle w:val="7"/>
        <w:rPr>
          <w:rFonts w:hint="eastAsia" w:ascii="Times New Roman" w:hAnsi="Times New Roman" w:eastAsia="宋体" w:cs="Times New Roman"/>
          <w:b/>
          <w:bCs/>
          <w:kern w:val="2"/>
          <w:sz w:val="24"/>
          <w:szCs w:val="24"/>
          <w:lang w:val="en-US" w:eastAsia="zh-CN" w:bidi="ar-SA"/>
        </w:rPr>
      </w:pPr>
      <w:bookmarkStart w:id="57" w:name="_Toc6263"/>
      <w:r>
        <w:rPr>
          <w:rFonts w:hint="eastAsia" w:cs="Times New Roman"/>
          <w:b/>
          <w:bCs/>
          <w:kern w:val="2"/>
          <w:sz w:val="24"/>
          <w:szCs w:val="24"/>
          <w:lang w:val="en-US" w:eastAsia="zh-CN" w:bidi="ar-SA"/>
        </w:rPr>
        <w:t>权限需求</w:t>
      </w:r>
      <w:bookmarkEnd w:id="57"/>
    </w:p>
    <w:tbl>
      <w:tblPr>
        <w:tblStyle w:val="34"/>
        <w:tblpPr w:leftFromText="180" w:rightFromText="180" w:vertAnchor="text" w:horzAnchor="page" w:tblpX="1543" w:tblpY="581"/>
        <w:tblOverlap w:val="never"/>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843"/>
        <w:gridCol w:w="1701"/>
        <w:gridCol w:w="1984"/>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84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模块</w:t>
            </w:r>
          </w:p>
        </w:tc>
        <w:tc>
          <w:tcPr>
            <w:tcW w:w="1701"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菜单权限</w:t>
            </w:r>
          </w:p>
        </w:tc>
        <w:tc>
          <w:tcPr>
            <w:tcW w:w="1984"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按钮权限</w:t>
            </w:r>
          </w:p>
        </w:tc>
        <w:tc>
          <w:tcPr>
            <w:tcW w:w="269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数据权限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1</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项目查询</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1843"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资料下载</w:t>
            </w:r>
          </w:p>
        </w:tc>
        <w:tc>
          <w:tcPr>
            <w:tcW w:w="1701"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按角色授权</w:t>
            </w:r>
          </w:p>
        </w:tc>
        <w:tc>
          <w:tcPr>
            <w:tcW w:w="1984"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按角色授权</w:t>
            </w:r>
          </w:p>
        </w:tc>
        <w:tc>
          <w:tcPr>
            <w:tcW w:w="2693"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rPr>
              <w:t>按角色授权</w:t>
            </w:r>
          </w:p>
        </w:tc>
      </w:tr>
    </w:tbl>
    <w:p>
      <w:pPr>
        <w:pStyle w:val="5"/>
        <w:ind w:left="0" w:leftChars="0" w:firstLine="0" w:firstLineChars="0"/>
        <w:rPr>
          <w:rFonts w:hint="eastAsia"/>
          <w:lang w:val="en-US" w:eastAsia="zh-CN"/>
        </w:rPr>
      </w:pPr>
    </w:p>
    <w:p>
      <w:pPr>
        <w:pStyle w:val="6"/>
        <w:rPr>
          <w:rFonts w:hint="eastAsia" w:cs="Times New Roman" w:asciiTheme="minorEastAsia" w:hAnsiTheme="minorEastAsia" w:eastAsiaTheme="minorEastAsia"/>
          <w:b/>
          <w:bCs/>
          <w:kern w:val="2"/>
          <w:sz w:val="24"/>
          <w:szCs w:val="24"/>
          <w:lang w:val="en-US" w:eastAsia="zh-CN" w:bidi="ar-SA"/>
        </w:rPr>
      </w:pPr>
      <w:bookmarkStart w:id="58" w:name="_Toc13291"/>
      <w:r>
        <w:rPr>
          <w:rFonts w:hint="eastAsia" w:cs="Times New Roman" w:asciiTheme="minorEastAsia" w:hAnsiTheme="minorEastAsia" w:eastAsiaTheme="minorEastAsia"/>
          <w:b/>
          <w:bCs/>
          <w:kern w:val="2"/>
          <w:sz w:val="24"/>
          <w:szCs w:val="24"/>
          <w:lang w:val="en-US" w:eastAsia="zh-CN" w:bidi="ar-SA"/>
        </w:rPr>
        <w:t>违规经营追责管理</w:t>
      </w:r>
    </w:p>
    <w:p>
      <w:pPr>
        <w:pStyle w:val="7"/>
      </w:pPr>
      <w:r>
        <w:rPr>
          <w:rFonts w:hint="eastAsia"/>
          <w:lang w:val="en-US" w:eastAsia="zh-CN"/>
        </w:rPr>
        <w:t>功能描述</w:t>
      </w:r>
    </w:p>
    <w:p>
      <w:pPr>
        <w:numPr>
          <w:ilvl w:val="0"/>
          <w:numId w:val="13"/>
        </w:numPr>
        <w:spacing w:line="360" w:lineRule="auto"/>
        <w:ind w:firstLine="482" w:firstLineChars="200"/>
        <w:rPr>
          <w:rFonts w:hint="eastAsia"/>
          <w:b/>
          <w:bCs/>
          <w:sz w:val="24"/>
          <w:szCs w:val="24"/>
        </w:rPr>
      </w:pPr>
      <w:r>
        <w:rPr>
          <w:rFonts w:hint="eastAsia"/>
          <w:b/>
          <w:bCs/>
          <w:sz w:val="24"/>
          <w:szCs w:val="24"/>
        </w:rPr>
        <w:t>受理</w:t>
      </w:r>
    </w:p>
    <w:p>
      <w:pPr>
        <w:spacing w:line="360" w:lineRule="auto"/>
        <w:ind w:firstLine="420" w:firstLineChars="0"/>
        <w:rPr>
          <w:rFonts w:hint="eastAsia"/>
          <w:sz w:val="24"/>
          <w:szCs w:val="24"/>
        </w:rPr>
      </w:pPr>
      <w:r>
        <w:rPr>
          <w:rFonts w:hint="eastAsia"/>
          <w:sz w:val="24"/>
          <w:szCs w:val="24"/>
        </w:rPr>
        <w:t>记录违规行为的相关信息，包括时间、地点、涉及人员、行为细节等，确保记录的准确性和完整性。</w:t>
      </w:r>
    </w:p>
    <w:p>
      <w:pPr>
        <w:numPr>
          <w:ilvl w:val="0"/>
          <w:numId w:val="13"/>
        </w:numPr>
        <w:spacing w:line="360" w:lineRule="auto"/>
        <w:ind w:firstLine="482" w:firstLineChars="200"/>
        <w:rPr>
          <w:rFonts w:hint="eastAsia"/>
          <w:b/>
          <w:bCs/>
          <w:sz w:val="24"/>
          <w:szCs w:val="24"/>
        </w:rPr>
      </w:pPr>
      <w:r>
        <w:rPr>
          <w:rFonts w:hint="eastAsia"/>
          <w:b/>
          <w:bCs/>
          <w:sz w:val="24"/>
          <w:szCs w:val="24"/>
        </w:rPr>
        <w:t>初步核实</w:t>
      </w:r>
    </w:p>
    <w:p>
      <w:pPr>
        <w:spacing w:line="360" w:lineRule="auto"/>
        <w:ind w:firstLine="420" w:firstLineChars="0"/>
        <w:rPr>
          <w:rFonts w:hint="eastAsia"/>
          <w:sz w:val="24"/>
          <w:szCs w:val="24"/>
        </w:rPr>
      </w:pPr>
      <w:r>
        <w:rPr>
          <w:rFonts w:hint="eastAsia"/>
          <w:sz w:val="24"/>
          <w:szCs w:val="24"/>
          <w:lang w:val="en-US" w:eastAsia="zh-CN"/>
        </w:rPr>
        <w:t>支持</w:t>
      </w:r>
      <w:r>
        <w:rPr>
          <w:rFonts w:hint="eastAsia"/>
          <w:sz w:val="24"/>
          <w:szCs w:val="24"/>
        </w:rPr>
        <w:t>流程配置建立责任人认定机制和追责流程，确定违规行为的责任人，并明确处理程序。</w:t>
      </w:r>
    </w:p>
    <w:p>
      <w:pPr>
        <w:numPr>
          <w:ilvl w:val="0"/>
          <w:numId w:val="13"/>
        </w:numPr>
        <w:spacing w:line="360" w:lineRule="auto"/>
        <w:ind w:firstLine="482" w:firstLineChars="200"/>
        <w:rPr>
          <w:rFonts w:hint="eastAsia"/>
          <w:b/>
          <w:bCs/>
          <w:sz w:val="24"/>
          <w:szCs w:val="24"/>
        </w:rPr>
      </w:pPr>
      <w:r>
        <w:rPr>
          <w:rFonts w:hint="eastAsia"/>
          <w:b/>
          <w:bCs/>
          <w:sz w:val="24"/>
          <w:szCs w:val="24"/>
          <w:lang w:val="en-US" w:eastAsia="zh-CN"/>
        </w:rPr>
        <w:t>问题线索</w:t>
      </w:r>
      <w:r>
        <w:rPr>
          <w:rFonts w:hint="eastAsia"/>
          <w:b/>
          <w:bCs/>
          <w:sz w:val="24"/>
          <w:szCs w:val="24"/>
        </w:rPr>
        <w:t>核查</w:t>
      </w:r>
    </w:p>
    <w:p>
      <w:pPr>
        <w:spacing w:line="360" w:lineRule="auto"/>
        <w:ind w:firstLine="420" w:firstLineChars="0"/>
        <w:rPr>
          <w:rFonts w:hint="eastAsia"/>
          <w:sz w:val="24"/>
          <w:szCs w:val="24"/>
        </w:rPr>
      </w:pPr>
      <w:r>
        <w:rPr>
          <w:rFonts w:hint="eastAsia"/>
          <w:sz w:val="24"/>
          <w:szCs w:val="24"/>
        </w:rPr>
        <w:t>支持收集证明材料，汇总核查报告。</w:t>
      </w:r>
    </w:p>
    <w:p>
      <w:pPr>
        <w:numPr>
          <w:ilvl w:val="0"/>
          <w:numId w:val="13"/>
        </w:numPr>
        <w:spacing w:line="360" w:lineRule="auto"/>
        <w:ind w:firstLine="482" w:firstLineChars="200"/>
        <w:rPr>
          <w:rFonts w:hint="eastAsia"/>
          <w:b/>
          <w:bCs/>
          <w:sz w:val="24"/>
          <w:szCs w:val="24"/>
        </w:rPr>
      </w:pPr>
      <w:r>
        <w:rPr>
          <w:rFonts w:hint="eastAsia"/>
          <w:b/>
          <w:bCs/>
          <w:sz w:val="24"/>
          <w:szCs w:val="24"/>
        </w:rPr>
        <w:t>处理阶段</w:t>
      </w:r>
    </w:p>
    <w:p>
      <w:pPr>
        <w:spacing w:line="360" w:lineRule="auto"/>
        <w:ind w:firstLine="420" w:firstLineChars="0"/>
        <w:rPr>
          <w:rFonts w:hint="eastAsia"/>
          <w:sz w:val="24"/>
          <w:szCs w:val="24"/>
        </w:rPr>
      </w:pPr>
      <w:r>
        <w:rPr>
          <w:rFonts w:hint="eastAsia"/>
          <w:sz w:val="24"/>
          <w:szCs w:val="24"/>
          <w:lang w:val="en-US" w:eastAsia="zh-CN"/>
        </w:rPr>
        <w:t>支持</w:t>
      </w:r>
      <w:r>
        <w:rPr>
          <w:rFonts w:hint="eastAsia"/>
          <w:sz w:val="24"/>
          <w:szCs w:val="24"/>
        </w:rPr>
        <w:t>流程配置，实现领导审批，党委会审议等。</w:t>
      </w:r>
    </w:p>
    <w:p>
      <w:pPr>
        <w:numPr>
          <w:ilvl w:val="0"/>
          <w:numId w:val="13"/>
        </w:numPr>
        <w:spacing w:line="360" w:lineRule="auto"/>
        <w:ind w:firstLine="482" w:firstLineChars="200"/>
        <w:rPr>
          <w:rFonts w:hint="eastAsia"/>
          <w:b/>
          <w:bCs/>
          <w:sz w:val="24"/>
          <w:szCs w:val="24"/>
        </w:rPr>
      </w:pPr>
      <w:r>
        <w:rPr>
          <w:rFonts w:hint="eastAsia"/>
          <w:b/>
          <w:bCs/>
          <w:sz w:val="24"/>
          <w:szCs w:val="24"/>
          <w:lang w:val="en-US" w:eastAsia="zh-CN"/>
        </w:rPr>
        <w:t>问题</w:t>
      </w:r>
      <w:r>
        <w:rPr>
          <w:rFonts w:hint="eastAsia"/>
          <w:b/>
          <w:bCs/>
          <w:sz w:val="24"/>
          <w:szCs w:val="24"/>
        </w:rPr>
        <w:t>整改</w:t>
      </w:r>
      <w:r>
        <w:rPr>
          <w:rFonts w:hint="eastAsia"/>
          <w:b/>
          <w:bCs/>
          <w:sz w:val="24"/>
          <w:szCs w:val="24"/>
          <w:lang w:val="en-US" w:eastAsia="zh-CN"/>
        </w:rPr>
        <w:t>管理</w:t>
      </w:r>
    </w:p>
    <w:p>
      <w:pPr>
        <w:spacing w:line="360" w:lineRule="auto"/>
        <w:ind w:firstLine="420" w:firstLineChars="0"/>
        <w:rPr>
          <w:sz w:val="24"/>
          <w:szCs w:val="24"/>
        </w:rPr>
      </w:pPr>
      <w:r>
        <w:rPr>
          <w:rFonts w:hint="eastAsia"/>
          <w:sz w:val="24"/>
          <w:szCs w:val="24"/>
        </w:rPr>
        <w:t>具备整改要求提出功能，即根据违规行为的情况，向相关责任人提出明确的整改要求，确保问题得到及时解决。通过消息提醒和流程管理提供整改过程的监督和跟踪功能，包括对整改计划的执行情况进行记录和检查，确保整改措施的有效性和落实。</w:t>
      </w:r>
    </w:p>
    <w:p>
      <w:pPr>
        <w:pStyle w:val="7"/>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数据需求</w:t>
      </w:r>
    </w:p>
    <w:p>
      <w:pPr>
        <w:pStyle w:val="5"/>
        <w:rPr>
          <w:rFonts w:hint="default"/>
          <w:lang w:val="en-US" w:eastAsia="zh-CN"/>
        </w:rPr>
      </w:pPr>
      <w:r>
        <w:rPr>
          <w:rFonts w:hint="eastAsia" w:cs="Times New Roman"/>
          <w:b/>
          <w:bCs/>
          <w:kern w:val="2"/>
          <w:sz w:val="24"/>
          <w:szCs w:val="24"/>
          <w:lang w:val="en-US" w:eastAsia="zh-CN" w:bidi="ar-SA"/>
        </w:rPr>
        <w:t>1、违规经营追责</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违规经营</w:t>
            </w:r>
            <w:r>
              <w:rPr>
                <w:rFonts w:hint="eastAsia" w:ascii="仿宋" w:hAnsi="仿宋" w:cs="仿宋"/>
                <w:color w:val="000000"/>
                <w:sz w:val="24"/>
                <w:szCs w:val="24"/>
              </w:rPr>
              <w:t>追责</w:t>
            </w:r>
            <w:r>
              <w:rPr>
                <w:rFonts w:hint="eastAsia" w:ascii="仿宋" w:hAnsi="仿宋" w:cs="仿宋"/>
                <w:color w:val="000000"/>
                <w:sz w:val="24"/>
                <w:szCs w:val="24"/>
                <w:lang w:val="en-US" w:eastAsia="zh-CN"/>
              </w:rPr>
              <w:t>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违规编号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用于唯一标识每个违规行为的编号或代码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违规描述</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对违规行为进行详细描述，包括违规行为的性质、时间、地点等信息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违规分类</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显示违规分类信息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违规阶段</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显示违规阶段信息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cs="仿宋"/>
                <w:color w:val="000000"/>
                <w:sz w:val="21"/>
                <w:szCs w:val="21"/>
              </w:rPr>
            </w:pPr>
            <w:r>
              <w:rPr>
                <w:rFonts w:hint="eastAsia" w:ascii="仿宋" w:hAnsi="仿宋" w:cs="仿宋"/>
                <w:color w:val="000000"/>
                <w:sz w:val="21"/>
                <w:szCs w:val="21"/>
              </w:rPr>
              <w:t>违规证据</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记录和描述支持违规行为的证据或相关文件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cs="仿宋"/>
                <w:color w:val="000000"/>
                <w:sz w:val="21"/>
                <w:szCs w:val="21"/>
              </w:rPr>
            </w:pPr>
            <w:r>
              <w:rPr>
                <w:rFonts w:hint="eastAsia" w:ascii="仿宋" w:hAnsi="仿宋" w:cs="仿宋"/>
                <w:color w:val="000000"/>
                <w:sz w:val="21"/>
                <w:szCs w:val="21"/>
              </w:rPr>
              <w:t>发现日期</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记录违规行为被发现或暴露的日期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cs="仿宋"/>
                <w:color w:val="000000"/>
                <w:sz w:val="21"/>
                <w:szCs w:val="21"/>
              </w:rPr>
            </w:pPr>
            <w:r>
              <w:rPr>
                <w:rFonts w:hint="eastAsia" w:ascii="仿宋" w:hAnsi="仿宋" w:cs="仿宋"/>
                <w:color w:val="000000"/>
                <w:sz w:val="21"/>
                <w:szCs w:val="21"/>
              </w:rPr>
              <w:t>处理措施</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描述针对违规行为采取的处理措施或纠正措施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cs="仿宋"/>
                <w:color w:val="000000"/>
                <w:sz w:val="21"/>
                <w:szCs w:val="21"/>
              </w:rPr>
            </w:pPr>
            <w:r>
              <w:rPr>
                <w:rFonts w:hint="eastAsia" w:ascii="仿宋" w:hAnsi="仿宋" w:cs="仿宋"/>
                <w:color w:val="000000"/>
                <w:sz w:val="21"/>
                <w:szCs w:val="21"/>
              </w:rPr>
              <w:t>处理结果</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cs="仿宋"/>
                <w:color w:val="000000"/>
                <w:sz w:val="21"/>
                <w:szCs w:val="21"/>
              </w:rPr>
            </w:pPr>
            <w:r>
              <w:rPr>
                <w:rFonts w:hint="eastAsia" w:ascii="仿宋" w:hAnsi="仿宋" w:cs="仿宋"/>
                <w:color w:val="000000"/>
                <w:sz w:val="21"/>
                <w:szCs w:val="21"/>
              </w:rPr>
              <w:t>记录对违规行为的处理结果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cs="仿宋"/>
                <w:color w:val="000000"/>
                <w:sz w:val="21"/>
                <w:szCs w:val="21"/>
              </w:rPr>
            </w:pPr>
            <w:r>
              <w:rPr>
                <w:rFonts w:hint="eastAsia" w:ascii="仿宋" w:hAnsi="仿宋" w:cs="仿宋"/>
                <w:color w:val="000000"/>
                <w:sz w:val="21"/>
                <w:szCs w:val="21"/>
              </w:rPr>
              <w:t>追责决策依据</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cs="仿宋"/>
                <w:color w:val="000000"/>
                <w:sz w:val="21"/>
                <w:szCs w:val="21"/>
              </w:rPr>
            </w:pPr>
            <w:r>
              <w:rPr>
                <w:rFonts w:hint="eastAsia" w:ascii="仿宋" w:hAnsi="仿宋" w:cs="仿宋"/>
                <w:color w:val="000000"/>
                <w:sz w:val="21"/>
                <w:szCs w:val="21"/>
              </w:rPr>
              <w:t>记录制定追责决策的相关法规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cs="仿宋"/>
                <w:color w:val="000000"/>
                <w:sz w:val="21"/>
                <w:szCs w:val="21"/>
              </w:rPr>
            </w:pPr>
            <w:r>
              <w:rPr>
                <w:rFonts w:hint="eastAsia" w:ascii="仿宋" w:hAnsi="仿宋" w:cs="仿宋"/>
                <w:color w:val="000000"/>
                <w:sz w:val="21"/>
                <w:szCs w:val="21"/>
              </w:rPr>
              <w:t>相关文件/附件</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附加任何与违规行为追责相关的文件、证据或支持材料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cs="仿宋"/>
                <w:color w:val="000000"/>
                <w:sz w:val="21"/>
                <w:szCs w:val="21"/>
              </w:rPr>
            </w:pPr>
            <w:r>
              <w:rPr>
                <w:rFonts w:hint="eastAsia" w:ascii="仿宋" w:hAnsi="仿宋" w:cs="仿宋"/>
                <w:color w:val="000000"/>
                <w:sz w:val="21"/>
                <w:szCs w:val="21"/>
              </w:rPr>
              <w:t>备注</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显示备注信息</w:t>
            </w:r>
          </w:p>
        </w:tc>
      </w:tr>
    </w:tbl>
    <w:p>
      <w:pPr>
        <w:pStyle w:val="5"/>
        <w:rPr>
          <w:rFonts w:hint="eastAsia"/>
          <w:lang w:val="en-US" w:eastAsia="zh-CN"/>
        </w:rPr>
      </w:pPr>
    </w:p>
    <w:p>
      <w:pPr>
        <w:pStyle w:val="7"/>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权限需求</w:t>
      </w:r>
    </w:p>
    <w:tbl>
      <w:tblPr>
        <w:tblStyle w:val="34"/>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843"/>
        <w:gridCol w:w="1701"/>
        <w:gridCol w:w="1984"/>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84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模块</w:t>
            </w:r>
          </w:p>
        </w:tc>
        <w:tc>
          <w:tcPr>
            <w:tcW w:w="1701"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菜单权限</w:t>
            </w:r>
          </w:p>
        </w:tc>
        <w:tc>
          <w:tcPr>
            <w:tcW w:w="1984"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按钮权限</w:t>
            </w:r>
          </w:p>
        </w:tc>
        <w:tc>
          <w:tcPr>
            <w:tcW w:w="269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数据权限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1</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受理阶段</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2</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初步核实阶段</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3</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核查阶段</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4</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处理阶段</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5</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整改阶段</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bl>
    <w:p>
      <w:pPr>
        <w:pStyle w:val="5"/>
        <w:rPr>
          <w:rFonts w:hint="eastAsia"/>
          <w:lang w:val="en-US" w:eastAsia="zh-CN"/>
        </w:rPr>
      </w:pPr>
    </w:p>
    <w:p>
      <w:pPr>
        <w:pStyle w:val="6"/>
        <w:rPr>
          <w:rFonts w:hint="eastAsia" w:cs="Times New Roman" w:asciiTheme="minorEastAsia" w:hAnsiTheme="minorEastAsia" w:eastAsiaTheme="minorEastAsia"/>
          <w:b/>
          <w:bCs/>
          <w:kern w:val="2"/>
          <w:sz w:val="24"/>
          <w:szCs w:val="24"/>
          <w:lang w:val="en-US" w:eastAsia="zh-CN" w:bidi="ar-SA"/>
        </w:rPr>
      </w:pPr>
      <w:r>
        <w:rPr>
          <w:rFonts w:hint="eastAsia" w:cs="Times New Roman" w:asciiTheme="minorEastAsia" w:hAnsiTheme="minorEastAsia" w:eastAsiaTheme="minorEastAsia"/>
          <w:b/>
          <w:bCs/>
          <w:kern w:val="2"/>
          <w:sz w:val="24"/>
          <w:szCs w:val="24"/>
          <w:lang w:val="en-US" w:eastAsia="zh-CN" w:bidi="ar-SA"/>
        </w:rPr>
        <w:t>重大经营风险管理</w:t>
      </w:r>
    </w:p>
    <w:p>
      <w:pPr>
        <w:pStyle w:val="7"/>
      </w:pPr>
      <w:r>
        <w:rPr>
          <w:rFonts w:hint="eastAsia"/>
          <w:lang w:val="en-US" w:eastAsia="zh-CN"/>
        </w:rPr>
        <w:t>功能描述</w:t>
      </w:r>
    </w:p>
    <w:p>
      <w:pPr>
        <w:numPr>
          <w:ilvl w:val="0"/>
          <w:numId w:val="14"/>
        </w:numPr>
        <w:spacing w:line="360" w:lineRule="auto"/>
        <w:ind w:firstLine="482" w:firstLineChars="200"/>
        <w:rPr>
          <w:rFonts w:hint="eastAsia"/>
          <w:b/>
          <w:bCs/>
          <w:sz w:val="24"/>
          <w:szCs w:val="24"/>
        </w:rPr>
      </w:pPr>
      <w:r>
        <w:rPr>
          <w:rFonts w:hint="eastAsia"/>
          <w:b/>
          <w:bCs/>
          <w:sz w:val="24"/>
          <w:szCs w:val="24"/>
          <w:lang w:val="en-US" w:eastAsia="zh-CN"/>
        </w:rPr>
        <w:t>提供事件跟踪和管理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0"/>
        <w:textAlignment w:val="auto"/>
        <w:rPr>
          <w:rFonts w:hint="default" w:eastAsia="宋体"/>
          <w:sz w:val="24"/>
          <w:szCs w:val="24"/>
          <w:lang w:val="en-US" w:eastAsia="zh-CN"/>
        </w:rPr>
      </w:pPr>
      <w:r>
        <w:rPr>
          <w:rFonts w:hint="eastAsia"/>
          <w:sz w:val="24"/>
          <w:szCs w:val="24"/>
        </w:rPr>
        <w:t>记录</w:t>
      </w:r>
      <w:r>
        <w:rPr>
          <w:rFonts w:hint="eastAsia"/>
          <w:sz w:val="24"/>
          <w:szCs w:val="24"/>
          <w:lang w:val="en-US" w:eastAsia="zh-CN"/>
        </w:rPr>
        <w:t>重大经营</w:t>
      </w:r>
      <w:r>
        <w:rPr>
          <w:rFonts w:hint="eastAsia"/>
          <w:sz w:val="24"/>
          <w:szCs w:val="24"/>
        </w:rPr>
        <w:t>事件的基本信息、报告进展和处理状态等</w:t>
      </w:r>
      <w:r>
        <w:rPr>
          <w:rFonts w:hint="eastAsia"/>
          <w:sz w:val="24"/>
          <w:szCs w:val="24"/>
          <w:lang w:eastAsia="zh-CN"/>
        </w:rPr>
        <w:t>，</w:t>
      </w:r>
      <w:r>
        <w:rPr>
          <w:rFonts w:hint="eastAsia"/>
          <w:sz w:val="24"/>
          <w:szCs w:val="24"/>
          <w:lang w:val="en-US" w:eastAsia="zh-CN"/>
        </w:rPr>
        <w:t>支持对重大经营风险的首报、续报、终报。</w:t>
      </w:r>
    </w:p>
    <w:p>
      <w:pPr>
        <w:numPr>
          <w:ilvl w:val="0"/>
          <w:numId w:val="14"/>
        </w:numPr>
        <w:spacing w:line="360" w:lineRule="auto"/>
        <w:ind w:firstLine="482" w:firstLineChars="200"/>
        <w:rPr>
          <w:rFonts w:hint="eastAsia"/>
          <w:b/>
          <w:bCs/>
          <w:sz w:val="24"/>
          <w:szCs w:val="24"/>
          <w:lang w:val="en-US" w:eastAsia="zh-CN"/>
        </w:rPr>
      </w:pPr>
      <w:r>
        <w:rPr>
          <w:rFonts w:hint="eastAsia"/>
          <w:b/>
          <w:bCs/>
          <w:sz w:val="24"/>
          <w:szCs w:val="24"/>
          <w:lang w:val="en-US" w:eastAsia="zh-CN"/>
        </w:rPr>
        <w:t>提供报告导出、下载功能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0"/>
        <w:textAlignment w:val="auto"/>
        <w:rPr>
          <w:rFonts w:hint="default" w:eastAsia="宋体"/>
          <w:sz w:val="24"/>
          <w:szCs w:val="24"/>
          <w:lang w:val="en-US" w:eastAsia="zh-CN"/>
        </w:rPr>
      </w:pPr>
      <w:r>
        <w:rPr>
          <w:rFonts w:hint="eastAsia"/>
          <w:sz w:val="24"/>
          <w:szCs w:val="24"/>
          <w:lang w:val="en-US" w:eastAsia="zh-CN"/>
        </w:rPr>
        <w:t>支持对重大经营风险事件报告的导出和下载。</w:t>
      </w:r>
    </w:p>
    <w:p>
      <w:pPr>
        <w:pStyle w:val="7"/>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数据需求</w:t>
      </w:r>
    </w:p>
    <w:p>
      <w:pPr>
        <w:pStyle w:val="5"/>
        <w:rPr>
          <w:rFonts w:hint="default"/>
          <w:lang w:val="en-US" w:eastAsia="zh-CN"/>
        </w:rPr>
      </w:pPr>
      <w:r>
        <w:rPr>
          <w:rFonts w:hint="eastAsia" w:cs="Times New Roman"/>
          <w:b/>
          <w:bCs/>
          <w:kern w:val="2"/>
          <w:sz w:val="24"/>
          <w:szCs w:val="24"/>
          <w:lang w:val="en-US" w:eastAsia="zh-CN" w:bidi="ar-SA"/>
        </w:rPr>
        <w:t>1、重大经营风险</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重大经营风险数据表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tcPr>
          <w:p>
            <w:pPr>
              <w:spacing w:line="360" w:lineRule="auto"/>
              <w:jc w:val="left"/>
              <w:rPr>
                <w:rFonts w:ascii="仿宋" w:hAnsi="仿宋" w:cs="仿宋"/>
                <w:color w:val="000000"/>
                <w:sz w:val="21"/>
                <w:szCs w:val="21"/>
              </w:rPr>
            </w:pPr>
            <w:r>
              <w:rPr>
                <w:rFonts w:hint="eastAsia"/>
                <w:sz w:val="21"/>
                <w:szCs w:val="21"/>
              </w:rPr>
              <w:t>事件ID</w:t>
            </w:r>
          </w:p>
        </w:tc>
        <w:tc>
          <w:tcPr>
            <w:tcW w:w="4069" w:type="pct"/>
            <w:tcBorders>
              <w:top w:val="single" w:color="auto" w:sz="4" w:space="0"/>
              <w:left w:val="single" w:color="auto" w:sz="4" w:space="0"/>
              <w:bottom w:val="single" w:color="auto" w:sz="4" w:space="0"/>
              <w:right w:val="single" w:color="auto" w:sz="4" w:space="0"/>
            </w:tcBorders>
            <w:shd w:val="clear" w:color="auto" w:fill="FFFFFF"/>
          </w:tcPr>
          <w:p>
            <w:pPr>
              <w:spacing w:line="360" w:lineRule="auto"/>
              <w:jc w:val="left"/>
              <w:rPr>
                <w:rFonts w:ascii="仿宋" w:hAnsi="仿宋" w:cs="仿宋"/>
                <w:color w:val="000000"/>
                <w:sz w:val="21"/>
                <w:szCs w:val="21"/>
              </w:rPr>
            </w:pPr>
            <w:r>
              <w:rPr>
                <w:rFonts w:hint="eastAsia"/>
                <w:sz w:val="21"/>
                <w:szCs w:val="21"/>
              </w:rPr>
              <w:t>用于唯一标识每个事件。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tcPr>
          <w:p>
            <w:pPr>
              <w:spacing w:line="360" w:lineRule="auto"/>
              <w:jc w:val="left"/>
              <w:rPr>
                <w:rFonts w:ascii="仿宋" w:hAnsi="仿宋" w:cs="仿宋"/>
                <w:color w:val="000000"/>
                <w:sz w:val="21"/>
                <w:szCs w:val="21"/>
              </w:rPr>
            </w:pPr>
            <w:r>
              <w:rPr>
                <w:rFonts w:hint="eastAsia"/>
                <w:sz w:val="21"/>
                <w:szCs w:val="21"/>
              </w:rPr>
              <w:t>事件标题</w:t>
            </w:r>
          </w:p>
        </w:tc>
        <w:tc>
          <w:tcPr>
            <w:tcW w:w="4069" w:type="pct"/>
            <w:tcBorders>
              <w:top w:val="single" w:color="auto" w:sz="4" w:space="0"/>
              <w:left w:val="single" w:color="auto" w:sz="4" w:space="0"/>
              <w:bottom w:val="single" w:color="auto" w:sz="4" w:space="0"/>
              <w:right w:val="single" w:color="auto" w:sz="4" w:space="0"/>
            </w:tcBorders>
            <w:shd w:val="clear" w:color="auto" w:fill="FFFFFF"/>
          </w:tcPr>
          <w:p>
            <w:pPr>
              <w:spacing w:line="360" w:lineRule="auto"/>
              <w:jc w:val="left"/>
              <w:rPr>
                <w:rFonts w:ascii="仿宋" w:hAnsi="仿宋" w:cs="仿宋"/>
                <w:color w:val="000000"/>
                <w:sz w:val="21"/>
                <w:szCs w:val="21"/>
              </w:rPr>
            </w:pPr>
            <w:r>
              <w:rPr>
                <w:rFonts w:hint="eastAsia"/>
                <w:sz w:val="21"/>
                <w:szCs w:val="21"/>
              </w:rPr>
              <w:t>对事件进行简要描述的标题。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rFonts w:ascii="仿宋" w:hAnsi="仿宋" w:cs="仿宋"/>
                <w:color w:val="000000"/>
                <w:sz w:val="21"/>
                <w:szCs w:val="21"/>
              </w:rPr>
            </w:pPr>
            <w:r>
              <w:rPr>
                <w:rFonts w:hint="eastAsia"/>
                <w:sz w:val="21"/>
                <w:szCs w:val="21"/>
              </w:rPr>
              <w:t>事件描述</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cs="仿宋"/>
                <w:color w:val="000000"/>
                <w:sz w:val="21"/>
                <w:szCs w:val="21"/>
              </w:rPr>
            </w:pPr>
            <w:r>
              <w:rPr>
                <w:rFonts w:hint="eastAsia"/>
                <w:sz w:val="21"/>
                <w:szCs w:val="21"/>
              </w:rPr>
              <w:t>详细描述事件的起因、性质和相关情况。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rFonts w:ascii="仿宋" w:hAnsi="仿宋" w:cs="仿宋"/>
                <w:color w:val="000000"/>
                <w:sz w:val="21"/>
                <w:szCs w:val="21"/>
              </w:rPr>
            </w:pPr>
            <w:r>
              <w:rPr>
                <w:rFonts w:hint="eastAsia"/>
                <w:sz w:val="21"/>
                <w:szCs w:val="21"/>
              </w:rPr>
              <w:t>事件发生时间</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cs="仿宋"/>
                <w:color w:val="000000"/>
                <w:sz w:val="21"/>
                <w:szCs w:val="21"/>
              </w:rPr>
            </w:pPr>
            <w:r>
              <w:rPr>
                <w:rFonts w:hint="eastAsia"/>
                <w:sz w:val="21"/>
                <w:szCs w:val="21"/>
              </w:rPr>
              <w:t>记录事件具体发生的日期和时间。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sz w:val="21"/>
                <w:szCs w:val="21"/>
              </w:rPr>
            </w:pPr>
            <w:r>
              <w:rPr>
                <w:rFonts w:hint="eastAsia"/>
                <w:sz w:val="21"/>
                <w:szCs w:val="21"/>
              </w:rPr>
              <w:t>事件地点</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sz w:val="21"/>
                <w:szCs w:val="21"/>
              </w:rPr>
            </w:pPr>
            <w:r>
              <w:rPr>
                <w:rFonts w:hint="eastAsia"/>
                <w:sz w:val="21"/>
                <w:szCs w:val="21"/>
              </w:rPr>
              <w:t>记录事件发生的具体地点。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sz w:val="21"/>
                <w:szCs w:val="21"/>
              </w:rPr>
            </w:pPr>
            <w:r>
              <w:rPr>
                <w:rFonts w:hint="eastAsia"/>
                <w:sz w:val="21"/>
                <w:szCs w:val="21"/>
              </w:rPr>
              <w:t>报告进展</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sz w:val="21"/>
                <w:szCs w:val="21"/>
              </w:rPr>
            </w:pPr>
            <w:r>
              <w:rPr>
                <w:rFonts w:hint="eastAsia"/>
                <w:sz w:val="21"/>
                <w:szCs w:val="21"/>
              </w:rPr>
              <w:t>记录事件报告的进展情况，如首报、续报、终报等。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sz w:val="21"/>
                <w:szCs w:val="21"/>
              </w:rPr>
            </w:pPr>
            <w:r>
              <w:rPr>
                <w:rFonts w:hint="eastAsia"/>
                <w:sz w:val="21"/>
                <w:szCs w:val="21"/>
              </w:rPr>
              <w:t>处理状态</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sz w:val="21"/>
                <w:szCs w:val="21"/>
              </w:rPr>
            </w:pPr>
            <w:r>
              <w:rPr>
                <w:rFonts w:hint="eastAsia"/>
                <w:sz w:val="21"/>
                <w:szCs w:val="21"/>
              </w:rPr>
              <w:t>记录事件处理的当前状态，如待处理、处理中、已完成等。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sz w:val="21"/>
                <w:szCs w:val="21"/>
              </w:rPr>
            </w:pPr>
            <w:r>
              <w:rPr>
                <w:rFonts w:hint="eastAsia"/>
                <w:sz w:val="21"/>
                <w:szCs w:val="21"/>
              </w:rPr>
              <w:t>负责人</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sz w:val="21"/>
                <w:szCs w:val="21"/>
              </w:rPr>
            </w:pPr>
            <w:r>
              <w:rPr>
                <w:rFonts w:hint="eastAsia"/>
                <w:sz w:val="21"/>
                <w:szCs w:val="21"/>
              </w:rPr>
              <w:t>指定负责处理事件的责任人。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sz w:val="21"/>
                <w:szCs w:val="21"/>
              </w:rPr>
            </w:pPr>
            <w:r>
              <w:rPr>
                <w:rFonts w:hint="eastAsia"/>
                <w:sz w:val="21"/>
                <w:szCs w:val="21"/>
              </w:rPr>
              <w:t>创建时间</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sz w:val="21"/>
                <w:szCs w:val="21"/>
              </w:rPr>
            </w:pPr>
            <w:r>
              <w:rPr>
                <w:rFonts w:hint="eastAsia"/>
                <w:sz w:val="21"/>
                <w:szCs w:val="21"/>
              </w:rPr>
              <w:t>记录事件的创建时间。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sz w:val="21"/>
                <w:szCs w:val="21"/>
              </w:rPr>
            </w:pPr>
            <w:r>
              <w:rPr>
                <w:rFonts w:hint="eastAsia"/>
                <w:sz w:val="21"/>
                <w:szCs w:val="21"/>
              </w:rPr>
              <w:t>更新时间</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sz w:val="21"/>
                <w:szCs w:val="21"/>
              </w:rPr>
            </w:pPr>
            <w:r>
              <w:rPr>
                <w:rFonts w:hint="eastAsia"/>
                <w:sz w:val="21"/>
                <w:szCs w:val="21"/>
              </w:rPr>
              <w:t>记录事件信息的最后更新时间。</w:t>
            </w:r>
          </w:p>
        </w:tc>
      </w:tr>
    </w:tbl>
    <w:p>
      <w:pPr>
        <w:pStyle w:val="5"/>
        <w:rPr>
          <w:rFonts w:hint="eastAsia"/>
          <w:lang w:val="en-US" w:eastAsia="zh-CN"/>
        </w:rPr>
      </w:pPr>
    </w:p>
    <w:p>
      <w:pPr>
        <w:pStyle w:val="7"/>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权限需求</w:t>
      </w:r>
    </w:p>
    <w:tbl>
      <w:tblPr>
        <w:tblStyle w:val="3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9"/>
        <w:gridCol w:w="1830"/>
        <w:gridCol w:w="1689"/>
        <w:gridCol w:w="1970"/>
        <w:gridCol w:w="2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016" w:type="pct"/>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模块</w:t>
            </w:r>
          </w:p>
        </w:tc>
        <w:tc>
          <w:tcPr>
            <w:tcW w:w="938" w:type="pct"/>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菜单权限</w:t>
            </w:r>
          </w:p>
        </w:tc>
        <w:tc>
          <w:tcPr>
            <w:tcW w:w="1094" w:type="pct"/>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按钮权限</w:t>
            </w:r>
          </w:p>
        </w:tc>
        <w:tc>
          <w:tcPr>
            <w:tcW w:w="1485" w:type="pct"/>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数据权限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1</w:t>
            </w:r>
          </w:p>
        </w:tc>
        <w:tc>
          <w:tcPr>
            <w:tcW w:w="1016" w:type="pct"/>
          </w:tcPr>
          <w:p>
            <w:pPr>
              <w:spacing w:line="360" w:lineRule="auto"/>
              <w:rPr>
                <w:rFonts w:hint="eastAsia" w:ascii="宋体" w:hAnsi="宋体" w:eastAsia="宋体" w:cs="宋体"/>
                <w:sz w:val="21"/>
                <w:szCs w:val="21"/>
              </w:rPr>
            </w:pPr>
            <w:r>
              <w:rPr>
                <w:rFonts w:hint="eastAsia" w:ascii="宋体" w:hAnsi="宋体" w:eastAsia="宋体" w:cs="宋体"/>
                <w:color w:val="000000"/>
                <w:sz w:val="21"/>
                <w:szCs w:val="21"/>
              </w:rPr>
              <w:t>事件跟踪与管理</w:t>
            </w:r>
          </w:p>
        </w:tc>
        <w:tc>
          <w:tcPr>
            <w:tcW w:w="938"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094"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485"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6"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2</w:t>
            </w:r>
          </w:p>
        </w:tc>
        <w:tc>
          <w:tcPr>
            <w:tcW w:w="1016"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报告生成和导出</w:t>
            </w:r>
          </w:p>
        </w:tc>
        <w:tc>
          <w:tcPr>
            <w:tcW w:w="938"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094"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485" w:type="pct"/>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bl>
    <w:p>
      <w:pPr>
        <w:pStyle w:val="5"/>
        <w:rPr>
          <w:rFonts w:hint="eastAsia"/>
          <w:lang w:val="en-US" w:eastAsia="zh-CN"/>
        </w:rPr>
      </w:pPr>
    </w:p>
    <w:p>
      <w:pPr>
        <w:pStyle w:val="6"/>
        <w:rPr>
          <w:rFonts w:hint="eastAsia" w:cs="Times New Roman" w:asciiTheme="minorEastAsia" w:hAnsiTheme="minorEastAsia" w:eastAsiaTheme="minorEastAsia"/>
          <w:b/>
          <w:bCs/>
          <w:kern w:val="2"/>
          <w:sz w:val="24"/>
          <w:szCs w:val="24"/>
          <w:lang w:val="en-US" w:eastAsia="zh-CN" w:bidi="ar-SA"/>
        </w:rPr>
      </w:pPr>
      <w:r>
        <w:rPr>
          <w:rFonts w:hint="eastAsia" w:cs="Times New Roman" w:asciiTheme="minorEastAsia" w:hAnsiTheme="minorEastAsia" w:eastAsiaTheme="minorEastAsia"/>
          <w:b/>
          <w:bCs/>
          <w:kern w:val="2"/>
          <w:sz w:val="24"/>
          <w:szCs w:val="24"/>
          <w:lang w:val="en-US" w:eastAsia="zh-CN" w:bidi="ar-SA"/>
        </w:rPr>
        <w:t>制度执行检查管理</w:t>
      </w:r>
    </w:p>
    <w:p>
      <w:pPr>
        <w:pStyle w:val="7"/>
      </w:pPr>
      <w:r>
        <w:rPr>
          <w:rFonts w:hint="eastAsia"/>
          <w:lang w:val="en-US" w:eastAsia="zh-CN"/>
        </w:rPr>
        <w:t>功能描述</w:t>
      </w:r>
    </w:p>
    <w:p>
      <w:pPr>
        <w:numPr>
          <w:ilvl w:val="0"/>
          <w:numId w:val="15"/>
        </w:numPr>
        <w:spacing w:line="360" w:lineRule="auto"/>
        <w:ind w:firstLine="482" w:firstLineChars="200"/>
        <w:rPr>
          <w:rFonts w:hint="eastAsia"/>
          <w:b/>
          <w:bCs/>
          <w:sz w:val="24"/>
          <w:szCs w:val="24"/>
          <w:lang w:val="en-US" w:eastAsia="zh-CN"/>
        </w:rPr>
      </w:pPr>
      <w:r>
        <w:rPr>
          <w:rFonts w:hint="eastAsia"/>
          <w:b/>
          <w:bCs/>
          <w:sz w:val="24"/>
          <w:szCs w:val="24"/>
          <w:lang w:val="en-US" w:eastAsia="zh-CN"/>
        </w:rPr>
        <w:t>制度执行计划管理</w:t>
      </w:r>
    </w:p>
    <w:p>
      <w:pPr>
        <w:spacing w:line="360" w:lineRule="auto"/>
        <w:ind w:firstLine="420" w:firstLineChars="0"/>
        <w:rPr>
          <w:sz w:val="24"/>
          <w:szCs w:val="24"/>
        </w:rPr>
      </w:pPr>
      <w:r>
        <w:rPr>
          <w:rFonts w:hint="eastAsia"/>
          <w:sz w:val="24"/>
          <w:szCs w:val="24"/>
          <w:lang w:val="en-US" w:eastAsia="zh-CN"/>
        </w:rPr>
        <w:t>提供</w:t>
      </w:r>
      <w:r>
        <w:rPr>
          <w:rFonts w:hint="eastAsia"/>
          <w:sz w:val="24"/>
          <w:szCs w:val="24"/>
        </w:rPr>
        <w:t>制度执行计划</w:t>
      </w:r>
      <w:r>
        <w:rPr>
          <w:rFonts w:hint="eastAsia"/>
          <w:sz w:val="24"/>
          <w:szCs w:val="24"/>
          <w:lang w:val="en-US" w:eastAsia="zh-CN"/>
        </w:rPr>
        <w:t>管理功能</w:t>
      </w:r>
      <w:r>
        <w:rPr>
          <w:rFonts w:hint="eastAsia"/>
          <w:sz w:val="24"/>
          <w:szCs w:val="24"/>
        </w:rPr>
        <w:t>，</w:t>
      </w:r>
      <w:r>
        <w:rPr>
          <w:rFonts w:hint="eastAsia"/>
          <w:sz w:val="24"/>
          <w:szCs w:val="24"/>
          <w:lang w:val="en-US" w:eastAsia="zh-CN"/>
        </w:rPr>
        <w:t>包括年度制度执行计划的创建、审批和下发功能，以及对年度制度执行计划的状态跟踪</w:t>
      </w:r>
      <w:r>
        <w:rPr>
          <w:rFonts w:hint="eastAsia"/>
          <w:sz w:val="24"/>
          <w:szCs w:val="24"/>
        </w:rPr>
        <w:t>。</w:t>
      </w:r>
    </w:p>
    <w:p>
      <w:pPr>
        <w:numPr>
          <w:ilvl w:val="0"/>
          <w:numId w:val="15"/>
        </w:numPr>
        <w:spacing w:line="360" w:lineRule="auto"/>
        <w:ind w:firstLine="482" w:firstLineChars="200"/>
        <w:rPr>
          <w:rFonts w:hint="eastAsia"/>
          <w:b/>
          <w:bCs/>
          <w:sz w:val="24"/>
          <w:szCs w:val="24"/>
          <w:lang w:val="en-US" w:eastAsia="zh-CN"/>
        </w:rPr>
      </w:pPr>
      <w:r>
        <w:rPr>
          <w:rFonts w:hint="eastAsia"/>
          <w:b/>
          <w:bCs/>
          <w:sz w:val="24"/>
          <w:szCs w:val="24"/>
          <w:lang w:val="en-US" w:eastAsia="zh-CN"/>
        </w:rPr>
        <w:t>报告生成和导出</w:t>
      </w:r>
    </w:p>
    <w:p>
      <w:pPr>
        <w:spacing w:line="360" w:lineRule="auto"/>
        <w:ind w:firstLine="420" w:firstLineChars="0"/>
        <w:rPr>
          <w:sz w:val="24"/>
          <w:szCs w:val="24"/>
        </w:rPr>
      </w:pPr>
      <w:r>
        <w:rPr>
          <w:rFonts w:hint="eastAsia"/>
          <w:sz w:val="24"/>
          <w:szCs w:val="24"/>
        </w:rPr>
        <w:t>提供</w:t>
      </w:r>
      <w:r>
        <w:rPr>
          <w:rFonts w:hint="eastAsia"/>
          <w:sz w:val="24"/>
          <w:szCs w:val="24"/>
          <w:lang w:val="en-US" w:eastAsia="zh-CN"/>
        </w:rPr>
        <w:t>制度执行</w:t>
      </w:r>
      <w:r>
        <w:rPr>
          <w:rFonts w:hint="eastAsia"/>
          <w:sz w:val="24"/>
          <w:szCs w:val="24"/>
        </w:rPr>
        <w:t>报告的</w:t>
      </w:r>
      <w:r>
        <w:rPr>
          <w:rFonts w:hint="eastAsia"/>
          <w:sz w:val="24"/>
          <w:szCs w:val="24"/>
          <w:lang w:val="en-US" w:eastAsia="zh-CN"/>
        </w:rPr>
        <w:t>生成、导出</w:t>
      </w:r>
      <w:r>
        <w:rPr>
          <w:rFonts w:hint="eastAsia"/>
          <w:sz w:val="24"/>
          <w:szCs w:val="24"/>
        </w:rPr>
        <w:t>功能，包括对制度执行情况的总结、存在的问题和改进建议。支持报告的模板和格式修改，以满足不同用户的需求</w:t>
      </w:r>
      <w:r>
        <w:rPr>
          <w:rFonts w:hint="eastAsia"/>
          <w:sz w:val="24"/>
          <w:szCs w:val="24"/>
          <w:lang w:eastAsia="zh-CN"/>
        </w:rPr>
        <w:t>，</w:t>
      </w:r>
      <w:r>
        <w:rPr>
          <w:rFonts w:hint="eastAsia"/>
          <w:sz w:val="24"/>
          <w:szCs w:val="24"/>
          <w:lang w:val="en-US" w:eastAsia="zh-CN"/>
        </w:rPr>
        <w:t>支持的</w:t>
      </w:r>
      <w:r>
        <w:rPr>
          <w:rFonts w:hint="eastAsia"/>
          <w:sz w:val="24"/>
          <w:szCs w:val="24"/>
        </w:rPr>
        <w:t>文档格式</w:t>
      </w:r>
      <w:r>
        <w:rPr>
          <w:rFonts w:hint="eastAsia"/>
          <w:sz w:val="24"/>
          <w:szCs w:val="24"/>
          <w:lang w:val="en-US" w:eastAsia="zh-CN"/>
        </w:rPr>
        <w:t>包含</w:t>
      </w:r>
      <w:r>
        <w:rPr>
          <w:rFonts w:hint="eastAsia"/>
          <w:sz w:val="24"/>
          <w:szCs w:val="24"/>
        </w:rPr>
        <w:t>PDF、Word。</w:t>
      </w:r>
    </w:p>
    <w:p>
      <w:pPr>
        <w:numPr>
          <w:ilvl w:val="0"/>
          <w:numId w:val="15"/>
        </w:numPr>
        <w:spacing w:line="360" w:lineRule="auto"/>
        <w:ind w:firstLine="482" w:firstLineChars="200"/>
        <w:rPr>
          <w:rFonts w:hint="eastAsia"/>
          <w:b/>
          <w:bCs/>
          <w:sz w:val="24"/>
          <w:szCs w:val="24"/>
          <w:lang w:val="en-US" w:eastAsia="zh-CN"/>
        </w:rPr>
      </w:pPr>
      <w:r>
        <w:rPr>
          <w:rFonts w:hint="eastAsia"/>
          <w:b/>
          <w:bCs/>
          <w:sz w:val="24"/>
          <w:szCs w:val="24"/>
          <w:lang w:val="en-US" w:eastAsia="zh-CN"/>
        </w:rPr>
        <w:t>问题跟踪和整改管理</w:t>
      </w:r>
    </w:p>
    <w:p>
      <w:pPr>
        <w:spacing w:line="360" w:lineRule="auto"/>
        <w:ind w:firstLine="420" w:firstLineChars="0"/>
        <w:rPr>
          <w:sz w:val="24"/>
          <w:szCs w:val="24"/>
        </w:rPr>
      </w:pPr>
      <w:r>
        <w:rPr>
          <w:rFonts w:hint="eastAsia"/>
          <w:sz w:val="24"/>
          <w:szCs w:val="24"/>
        </w:rPr>
        <w:t>提供问题的跟踪和状态管理，包括问题的创建、指派、解决和关闭。支持问题的优先级设置和截止日期的设定，以确保问题得到及时解决。</w:t>
      </w:r>
    </w:p>
    <w:p>
      <w:pPr>
        <w:pStyle w:val="7"/>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数据需求</w:t>
      </w:r>
    </w:p>
    <w:p>
      <w:pPr>
        <w:pStyle w:val="5"/>
        <w:rPr>
          <w:rFonts w:hint="default"/>
          <w:lang w:val="en-US" w:eastAsia="zh-CN"/>
        </w:rPr>
      </w:pPr>
      <w:r>
        <w:rPr>
          <w:rFonts w:hint="eastAsia" w:cs="Times New Roman"/>
          <w:b/>
          <w:bCs/>
          <w:kern w:val="2"/>
          <w:sz w:val="24"/>
          <w:szCs w:val="24"/>
          <w:lang w:val="en-US" w:eastAsia="zh-CN" w:bidi="ar-SA"/>
        </w:rPr>
        <w:t>1、制度执行计划</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4"/>
                <w:szCs w:val="24"/>
                <w:lang w:val="en-US" w:eastAsia="zh-CN"/>
              </w:rPr>
            </w:pPr>
            <w:r>
              <w:rPr>
                <w:rFonts w:hint="eastAsia"/>
                <w:sz w:val="24"/>
                <w:szCs w:val="24"/>
              </w:rPr>
              <w:t>制度执行计划</w:t>
            </w:r>
            <w:r>
              <w:rPr>
                <w:rFonts w:hint="eastAsia"/>
                <w:sz w:val="24"/>
                <w:szCs w:val="24"/>
                <w:lang w:val="en-US" w:eastAsia="zh-CN"/>
              </w:rPr>
              <w:t>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eastAsia" w:ascii="仿宋" w:hAnsi="仿宋" w:eastAsia="宋体" w:cs="仿宋"/>
                <w:color w:val="000000"/>
                <w:sz w:val="24"/>
                <w:szCs w:val="24"/>
                <w:lang w:val="en-US" w:eastAsia="zh-CN"/>
              </w:rPr>
            </w:pPr>
            <w:r>
              <w:rPr>
                <w:rFonts w:hint="eastAsia" w:ascii="仿宋" w:hAnsi="仿宋" w:cs="仿宋"/>
                <w:color w:val="000000"/>
                <w:sz w:val="24"/>
                <w:szCs w:val="24"/>
                <w:lang w:val="en-US"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显示编号，根据编号规则自动生成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tcPr>
          <w:p>
            <w:pPr>
              <w:spacing w:line="360" w:lineRule="auto"/>
              <w:jc w:val="left"/>
              <w:rPr>
                <w:rFonts w:hint="default" w:ascii="仿宋" w:hAnsi="仿宋" w:eastAsia="宋体" w:cs="仿宋"/>
                <w:color w:val="000000"/>
                <w:sz w:val="21"/>
                <w:szCs w:val="21"/>
                <w:lang w:val="en-US" w:eastAsia="zh-CN"/>
              </w:rPr>
            </w:pPr>
            <w:r>
              <w:rPr>
                <w:rFonts w:hint="eastAsia"/>
                <w:sz w:val="21"/>
                <w:szCs w:val="21"/>
                <w:lang w:val="en-US" w:eastAsia="zh-CN"/>
              </w:rPr>
              <w:t>检查项目</w:t>
            </w:r>
          </w:p>
        </w:tc>
        <w:tc>
          <w:tcPr>
            <w:tcW w:w="4069" w:type="pct"/>
            <w:tcBorders>
              <w:top w:val="single" w:color="auto" w:sz="4" w:space="0"/>
              <w:left w:val="single" w:color="auto" w:sz="4" w:space="0"/>
              <w:bottom w:val="single" w:color="auto" w:sz="4" w:space="0"/>
              <w:right w:val="single" w:color="auto" w:sz="4" w:space="0"/>
            </w:tcBorders>
            <w:shd w:val="clear" w:color="auto" w:fill="FFFFFF"/>
          </w:tcPr>
          <w:p>
            <w:pPr>
              <w:spacing w:line="360" w:lineRule="auto"/>
              <w:jc w:val="left"/>
              <w:rPr>
                <w:rFonts w:hint="default" w:ascii="仿宋" w:hAnsi="仿宋" w:eastAsia="宋体" w:cs="仿宋"/>
                <w:color w:val="000000"/>
                <w:sz w:val="21"/>
                <w:szCs w:val="21"/>
                <w:lang w:val="en-US" w:eastAsia="zh-CN"/>
              </w:rPr>
            </w:pPr>
            <w:r>
              <w:rPr>
                <w:rFonts w:hint="eastAsia"/>
                <w:sz w:val="21"/>
                <w:szCs w:val="21"/>
                <w:lang w:val="en-US" w:eastAsia="zh-CN"/>
              </w:rPr>
              <w:t>显示检查项目信息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预计检查时间</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rFonts w:hint="default" w:ascii="仿宋" w:hAnsi="仿宋" w:eastAsia="宋体" w:cs="仿宋"/>
                <w:color w:val="000000"/>
                <w:sz w:val="21"/>
                <w:szCs w:val="21"/>
                <w:lang w:val="en-US" w:eastAsia="zh-CN"/>
              </w:rPr>
            </w:pPr>
            <w:r>
              <w:rPr>
                <w:rFonts w:hint="eastAsia"/>
                <w:sz w:val="21"/>
                <w:szCs w:val="21"/>
                <w:lang w:val="en-US" w:eastAsia="zh-CN"/>
              </w:rPr>
              <w:t>显示预计检查时间信息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检查制度名称及文号</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rFonts w:hint="default" w:ascii="仿宋" w:hAnsi="仿宋" w:eastAsia="宋体" w:cs="仿宋"/>
                <w:color w:val="000000"/>
                <w:sz w:val="21"/>
                <w:szCs w:val="21"/>
                <w:lang w:val="en-US" w:eastAsia="zh-CN"/>
              </w:rPr>
            </w:pPr>
            <w:r>
              <w:rPr>
                <w:rFonts w:hint="eastAsia"/>
                <w:sz w:val="21"/>
                <w:szCs w:val="21"/>
                <w:lang w:val="en-US" w:eastAsia="zh-CN"/>
              </w:rPr>
              <w:t>显示检查制度名称及文号信息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牵头部门</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rFonts w:hint="default" w:ascii="仿宋" w:hAnsi="仿宋" w:eastAsia="宋体" w:cs="仿宋"/>
                <w:color w:val="000000"/>
                <w:sz w:val="21"/>
                <w:szCs w:val="21"/>
                <w:lang w:val="en-US" w:eastAsia="zh-CN"/>
              </w:rPr>
            </w:pPr>
            <w:r>
              <w:rPr>
                <w:rFonts w:hint="eastAsia"/>
                <w:sz w:val="21"/>
                <w:szCs w:val="21"/>
                <w:lang w:val="en-US" w:eastAsia="zh-CN"/>
              </w:rPr>
              <w:t>显示牵头部门信息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配合部门</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rFonts w:hint="default" w:ascii="仿宋" w:hAnsi="仿宋" w:eastAsia="宋体" w:cs="仿宋"/>
                <w:color w:val="000000"/>
                <w:sz w:val="21"/>
                <w:szCs w:val="21"/>
                <w:lang w:val="en-US" w:eastAsia="zh-CN"/>
              </w:rPr>
            </w:pPr>
            <w:r>
              <w:rPr>
                <w:rFonts w:hint="eastAsia"/>
                <w:sz w:val="21"/>
                <w:szCs w:val="21"/>
                <w:lang w:val="en-US" w:eastAsia="zh-CN"/>
              </w:rPr>
              <w:t>显示配合部门信息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备注</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rFonts w:hint="default" w:eastAsia="宋体"/>
                <w:sz w:val="21"/>
                <w:szCs w:val="21"/>
                <w:lang w:val="en-US" w:eastAsia="zh-CN"/>
              </w:rPr>
            </w:pPr>
            <w:r>
              <w:rPr>
                <w:rFonts w:hint="eastAsia"/>
                <w:sz w:val="21"/>
                <w:szCs w:val="21"/>
                <w:lang w:val="en-US" w:eastAsia="zh-CN"/>
              </w:rPr>
              <w:t>显示备注信息</w:t>
            </w:r>
          </w:p>
        </w:tc>
      </w:tr>
    </w:tbl>
    <w:p>
      <w:pPr>
        <w:pStyle w:val="5"/>
        <w:rPr>
          <w:rFonts w:hint="eastAsia"/>
          <w:lang w:val="en-US" w:eastAsia="zh-CN"/>
        </w:rPr>
      </w:pPr>
    </w:p>
    <w:p>
      <w:pPr>
        <w:pStyle w:val="5"/>
        <w:rPr>
          <w:rFonts w:hint="default"/>
          <w:lang w:val="en-US" w:eastAsia="zh-CN"/>
        </w:rPr>
      </w:pPr>
      <w:r>
        <w:rPr>
          <w:rFonts w:hint="eastAsia" w:cs="Times New Roman"/>
          <w:b/>
          <w:bCs/>
          <w:kern w:val="2"/>
          <w:sz w:val="24"/>
          <w:szCs w:val="24"/>
          <w:lang w:val="en-US" w:eastAsia="zh-CN" w:bidi="ar-SA"/>
        </w:rPr>
        <w:t>2、制度执行情况报告数据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4"/>
                <w:szCs w:val="24"/>
                <w:lang w:val="en-US" w:eastAsia="zh-CN"/>
              </w:rPr>
            </w:pPr>
            <w:r>
              <w:rPr>
                <w:rFonts w:hint="eastAsia"/>
                <w:sz w:val="24"/>
                <w:szCs w:val="24"/>
              </w:rPr>
              <w:t>制度执行情况</w:t>
            </w:r>
            <w:r>
              <w:rPr>
                <w:rFonts w:hint="eastAsia"/>
                <w:sz w:val="24"/>
                <w:szCs w:val="24"/>
                <w:lang w:val="en-US" w:eastAsia="zh-CN"/>
              </w:rPr>
              <w:t>报告数据表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eastAsia" w:ascii="仿宋" w:hAnsi="仿宋" w:eastAsia="宋体" w:cs="仿宋"/>
                <w:color w:val="000000"/>
                <w:sz w:val="24"/>
                <w:szCs w:val="24"/>
                <w:lang w:val="en-US" w:eastAsia="zh-CN"/>
              </w:rPr>
            </w:pPr>
            <w:r>
              <w:rPr>
                <w:rFonts w:hint="eastAsia" w:ascii="仿宋" w:hAnsi="仿宋" w:cs="仿宋"/>
                <w:color w:val="000000"/>
                <w:sz w:val="24"/>
                <w:szCs w:val="24"/>
                <w:lang w:val="en-US"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显示编号，根据编号规则自动生成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制度执行情况自查</w:t>
            </w:r>
          </w:p>
        </w:tc>
        <w:tc>
          <w:tcPr>
            <w:tcW w:w="4069" w:type="pct"/>
            <w:tcBorders>
              <w:top w:val="single" w:color="auto" w:sz="4" w:space="0"/>
              <w:left w:val="single" w:color="auto" w:sz="4" w:space="0"/>
              <w:bottom w:val="single" w:color="auto" w:sz="4" w:space="0"/>
              <w:right w:val="single" w:color="auto" w:sz="4" w:space="0"/>
            </w:tcBorders>
            <w:shd w:val="clear" w:color="auto" w:fill="FFFFFF"/>
          </w:tcPr>
          <w:p>
            <w:pPr>
              <w:spacing w:line="360" w:lineRule="auto"/>
              <w:jc w:val="left"/>
              <w:rPr>
                <w:rFonts w:hint="default" w:ascii="仿宋" w:hAnsi="仿宋" w:eastAsia="宋体" w:cs="仿宋"/>
                <w:color w:val="000000"/>
                <w:sz w:val="21"/>
                <w:szCs w:val="21"/>
                <w:lang w:val="en-US" w:eastAsia="zh-CN"/>
              </w:rPr>
            </w:pPr>
            <w:r>
              <w:rPr>
                <w:rFonts w:hint="eastAsia"/>
                <w:sz w:val="21"/>
                <w:szCs w:val="21"/>
                <w:lang w:val="en-US" w:eastAsia="zh-CN"/>
              </w:rPr>
              <w:t>显示制度执行情况自查信息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所属企业监督检查</w:t>
            </w:r>
          </w:p>
        </w:tc>
        <w:tc>
          <w:tcPr>
            <w:tcW w:w="4069" w:type="pct"/>
            <w:tcBorders>
              <w:top w:val="single" w:color="auto" w:sz="4" w:space="0"/>
              <w:left w:val="single" w:color="auto" w:sz="4" w:space="0"/>
              <w:bottom w:val="single" w:color="auto" w:sz="4" w:space="0"/>
              <w:right w:val="single" w:color="auto" w:sz="4" w:space="0"/>
            </w:tcBorders>
            <w:shd w:val="clear" w:color="auto" w:fill="FFFFFF"/>
          </w:tcPr>
          <w:p>
            <w:pPr>
              <w:spacing w:line="360" w:lineRule="auto"/>
              <w:jc w:val="left"/>
              <w:rPr>
                <w:rFonts w:hint="default" w:ascii="仿宋" w:hAnsi="仿宋" w:eastAsia="宋体" w:cs="仿宋"/>
                <w:color w:val="000000"/>
                <w:sz w:val="21"/>
                <w:szCs w:val="21"/>
                <w:lang w:val="en-US" w:eastAsia="zh-CN"/>
              </w:rPr>
            </w:pPr>
            <w:r>
              <w:rPr>
                <w:rFonts w:hint="eastAsia"/>
                <w:sz w:val="21"/>
                <w:szCs w:val="21"/>
                <w:lang w:val="en-US" w:eastAsia="zh-CN"/>
              </w:rPr>
              <w:t>显示本部门职能职责对所属企业相关制度的执行情况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rFonts w:hint="default" w:ascii="仿宋" w:hAnsi="仿宋" w:eastAsia="宋体" w:cs="仿宋"/>
                <w:color w:val="000000"/>
                <w:sz w:val="21"/>
                <w:szCs w:val="21"/>
                <w:lang w:val="en-US" w:eastAsia="zh-CN"/>
              </w:rPr>
            </w:pPr>
            <w:r>
              <w:rPr>
                <w:rFonts w:hint="eastAsia"/>
                <w:sz w:val="21"/>
                <w:szCs w:val="21"/>
                <w:lang w:val="en-US" w:eastAsia="zh-CN"/>
              </w:rPr>
              <w:t>工作亮点</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rFonts w:hint="default" w:ascii="仿宋" w:hAnsi="仿宋" w:eastAsia="宋体" w:cs="仿宋"/>
                <w:color w:val="000000"/>
                <w:sz w:val="21"/>
                <w:szCs w:val="21"/>
                <w:lang w:val="en-US" w:eastAsia="zh-CN"/>
              </w:rPr>
            </w:pPr>
            <w:r>
              <w:rPr>
                <w:rFonts w:hint="eastAsia"/>
                <w:sz w:val="21"/>
                <w:szCs w:val="21"/>
                <w:lang w:val="en-US" w:eastAsia="zh-CN"/>
              </w:rPr>
              <w:t>显示制度执行检查工作亮点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rFonts w:hint="default" w:ascii="仿宋" w:hAnsi="仿宋" w:eastAsia="宋体" w:cs="仿宋"/>
                <w:color w:val="000000"/>
                <w:sz w:val="21"/>
                <w:szCs w:val="21"/>
                <w:lang w:val="en-US" w:eastAsia="zh-CN"/>
              </w:rPr>
            </w:pPr>
            <w:r>
              <w:rPr>
                <w:rFonts w:hint="eastAsia"/>
                <w:sz w:val="21"/>
                <w:szCs w:val="21"/>
                <w:lang w:val="en-US" w:eastAsia="zh-CN"/>
              </w:rPr>
              <w:t>发现的问题</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rFonts w:hint="default" w:ascii="仿宋" w:hAnsi="仿宋" w:eastAsia="宋体" w:cs="仿宋"/>
                <w:color w:val="000000"/>
                <w:sz w:val="21"/>
                <w:szCs w:val="21"/>
                <w:lang w:val="en-US" w:eastAsia="zh-CN"/>
              </w:rPr>
            </w:pPr>
            <w:r>
              <w:rPr>
                <w:rFonts w:hint="eastAsia"/>
                <w:sz w:val="21"/>
                <w:szCs w:val="21"/>
                <w:lang w:val="en-US" w:eastAsia="zh-CN"/>
              </w:rPr>
              <w:t>显示制度执行检查工作中发现的问题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rFonts w:hint="default" w:ascii="仿宋" w:hAnsi="仿宋" w:eastAsia="宋体" w:cs="仿宋"/>
                <w:color w:val="000000"/>
                <w:sz w:val="21"/>
                <w:szCs w:val="21"/>
                <w:lang w:val="en-US" w:eastAsia="zh-CN"/>
              </w:rPr>
            </w:pPr>
            <w:r>
              <w:rPr>
                <w:rFonts w:hint="eastAsia"/>
                <w:sz w:val="21"/>
                <w:szCs w:val="21"/>
                <w:lang w:val="en-US" w:eastAsia="zh-CN"/>
              </w:rPr>
              <w:t>问题整改落实情况</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rFonts w:hint="default" w:ascii="仿宋" w:hAnsi="仿宋" w:eastAsia="宋体" w:cs="仿宋"/>
                <w:color w:val="000000"/>
                <w:sz w:val="21"/>
                <w:szCs w:val="21"/>
                <w:lang w:val="en-US" w:eastAsia="zh-CN"/>
              </w:rPr>
            </w:pPr>
            <w:r>
              <w:rPr>
                <w:rFonts w:hint="eastAsia"/>
                <w:sz w:val="21"/>
                <w:szCs w:val="21"/>
                <w:lang w:val="en-US" w:eastAsia="zh-CN"/>
              </w:rPr>
              <w:t>显示问题整改落实情况信息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rFonts w:hint="default"/>
                <w:sz w:val="21"/>
                <w:szCs w:val="21"/>
                <w:lang w:val="en-US" w:eastAsia="zh-CN"/>
              </w:rPr>
            </w:pPr>
            <w:r>
              <w:rPr>
                <w:rFonts w:hint="eastAsia"/>
                <w:sz w:val="21"/>
                <w:szCs w:val="21"/>
                <w:lang w:val="en-US" w:eastAsia="zh-CN"/>
              </w:rPr>
              <w:t>下一年度制度执行检查工作计划</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rFonts w:hint="default"/>
                <w:sz w:val="21"/>
                <w:szCs w:val="21"/>
                <w:lang w:val="en-US" w:eastAsia="zh-CN"/>
              </w:rPr>
            </w:pPr>
            <w:r>
              <w:rPr>
                <w:rFonts w:hint="eastAsia"/>
                <w:sz w:val="21"/>
                <w:szCs w:val="21"/>
                <w:lang w:val="en-US" w:eastAsia="zh-CN"/>
              </w:rPr>
              <w:t>显示下一年度本部门制度执行检查工作计划安排信息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rFonts w:hint="default"/>
                <w:sz w:val="21"/>
                <w:szCs w:val="21"/>
                <w:lang w:val="en-US" w:eastAsia="zh-CN"/>
              </w:rPr>
            </w:pPr>
            <w:r>
              <w:rPr>
                <w:rFonts w:hint="eastAsia"/>
                <w:sz w:val="21"/>
                <w:szCs w:val="21"/>
                <w:lang w:val="en-US" w:eastAsia="zh-CN"/>
              </w:rPr>
              <w:t>备注</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rFonts w:hint="default"/>
                <w:sz w:val="21"/>
                <w:szCs w:val="21"/>
                <w:lang w:val="en-US" w:eastAsia="zh-CN"/>
              </w:rPr>
            </w:pPr>
            <w:r>
              <w:rPr>
                <w:rFonts w:hint="eastAsia"/>
                <w:sz w:val="21"/>
                <w:szCs w:val="21"/>
                <w:lang w:val="en-US" w:eastAsia="zh-CN"/>
              </w:rPr>
              <w:t>显示其他补充说明信息</w:t>
            </w:r>
          </w:p>
        </w:tc>
      </w:tr>
    </w:tbl>
    <w:p>
      <w:pPr>
        <w:pStyle w:val="5"/>
        <w:rPr>
          <w:rFonts w:hint="eastAsia"/>
          <w:lang w:val="en-US" w:eastAsia="zh-CN"/>
        </w:rPr>
      </w:pPr>
    </w:p>
    <w:p>
      <w:pPr>
        <w:pStyle w:val="5"/>
        <w:rPr>
          <w:rFonts w:hint="default"/>
          <w:lang w:val="en-US" w:eastAsia="zh-CN"/>
        </w:rPr>
      </w:pPr>
      <w:r>
        <w:rPr>
          <w:rFonts w:hint="eastAsia" w:cs="Times New Roman"/>
          <w:b/>
          <w:bCs/>
          <w:kern w:val="2"/>
          <w:sz w:val="24"/>
          <w:szCs w:val="24"/>
          <w:lang w:val="en-US" w:eastAsia="zh-CN" w:bidi="ar-SA"/>
        </w:rPr>
        <w:t>3、问题台账数据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4"/>
                <w:szCs w:val="24"/>
                <w:lang w:val="en-US" w:eastAsia="zh-CN"/>
              </w:rPr>
            </w:pPr>
            <w:r>
              <w:rPr>
                <w:rFonts w:hint="eastAsia"/>
                <w:sz w:val="24"/>
                <w:szCs w:val="24"/>
                <w:lang w:val="en-US" w:eastAsia="zh-CN"/>
              </w:rPr>
              <w:t>问题台账数据表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eastAsia" w:ascii="仿宋" w:hAnsi="仿宋" w:eastAsia="宋体" w:cs="仿宋"/>
                <w:color w:val="000000"/>
                <w:sz w:val="24"/>
                <w:szCs w:val="24"/>
                <w:lang w:val="en-US" w:eastAsia="zh-CN"/>
              </w:rPr>
            </w:pPr>
            <w:r>
              <w:rPr>
                <w:rFonts w:hint="eastAsia" w:ascii="仿宋" w:hAnsi="仿宋" w:cs="仿宋"/>
                <w:color w:val="000000"/>
                <w:sz w:val="24"/>
                <w:szCs w:val="24"/>
                <w:lang w:val="en-US"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显示编号，根据编号规则自动生成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tcPr>
          <w:p>
            <w:pPr>
              <w:spacing w:line="360" w:lineRule="auto"/>
              <w:jc w:val="left"/>
              <w:rPr>
                <w:rFonts w:ascii="仿宋" w:hAnsi="仿宋" w:cs="仿宋"/>
                <w:color w:val="000000"/>
                <w:sz w:val="21"/>
                <w:szCs w:val="21"/>
              </w:rPr>
            </w:pPr>
            <w:r>
              <w:rPr>
                <w:rFonts w:hint="eastAsia"/>
                <w:sz w:val="21"/>
                <w:szCs w:val="21"/>
              </w:rPr>
              <w:t>问题类型</w:t>
            </w:r>
          </w:p>
        </w:tc>
        <w:tc>
          <w:tcPr>
            <w:tcW w:w="4069" w:type="pct"/>
            <w:tcBorders>
              <w:top w:val="single" w:color="auto" w:sz="4" w:space="0"/>
              <w:left w:val="single" w:color="auto" w:sz="4" w:space="0"/>
              <w:bottom w:val="single" w:color="auto" w:sz="4" w:space="0"/>
              <w:right w:val="single" w:color="auto" w:sz="4" w:space="0"/>
            </w:tcBorders>
            <w:shd w:val="clear" w:color="auto" w:fill="FFFFFF"/>
          </w:tcPr>
          <w:p>
            <w:pPr>
              <w:spacing w:line="360" w:lineRule="auto"/>
              <w:jc w:val="left"/>
              <w:rPr>
                <w:rFonts w:ascii="仿宋" w:hAnsi="仿宋" w:cs="仿宋"/>
                <w:color w:val="000000"/>
                <w:sz w:val="21"/>
                <w:szCs w:val="21"/>
              </w:rPr>
            </w:pPr>
            <w:r>
              <w:rPr>
                <w:rFonts w:hint="eastAsia"/>
                <w:sz w:val="21"/>
                <w:szCs w:val="21"/>
              </w:rPr>
              <w:t>对问题进行分类，如合规问题、执行问题、管理问题等。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rFonts w:ascii="仿宋" w:hAnsi="仿宋" w:cs="仿宋"/>
                <w:color w:val="000000"/>
                <w:sz w:val="21"/>
                <w:szCs w:val="21"/>
              </w:rPr>
            </w:pPr>
            <w:r>
              <w:rPr>
                <w:rFonts w:hint="eastAsia"/>
                <w:sz w:val="21"/>
                <w:szCs w:val="21"/>
              </w:rPr>
              <w:t>问题描述</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cs="仿宋"/>
                <w:color w:val="000000"/>
                <w:sz w:val="21"/>
                <w:szCs w:val="21"/>
              </w:rPr>
            </w:pPr>
            <w:r>
              <w:rPr>
                <w:rFonts w:hint="eastAsia"/>
                <w:sz w:val="21"/>
                <w:szCs w:val="21"/>
              </w:rPr>
              <w:t>详细描述审计发现的问题和异常情况。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rFonts w:ascii="仿宋" w:hAnsi="仿宋" w:cs="仿宋"/>
                <w:color w:val="000000"/>
                <w:sz w:val="21"/>
                <w:szCs w:val="21"/>
              </w:rPr>
            </w:pPr>
            <w:r>
              <w:rPr>
                <w:rFonts w:hint="eastAsia"/>
                <w:sz w:val="21"/>
                <w:szCs w:val="21"/>
              </w:rPr>
              <w:t>证据和分析</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cs="仿宋"/>
                <w:color w:val="000000"/>
                <w:sz w:val="21"/>
                <w:szCs w:val="21"/>
              </w:rPr>
            </w:pPr>
            <w:r>
              <w:rPr>
                <w:rFonts w:hint="eastAsia"/>
                <w:sz w:val="21"/>
                <w:szCs w:val="21"/>
              </w:rPr>
              <w:t>提供相关证据和分析，支持问题的准确评估。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rFonts w:ascii="仿宋" w:hAnsi="仿宋" w:cs="仿宋"/>
                <w:color w:val="000000"/>
                <w:sz w:val="21"/>
                <w:szCs w:val="21"/>
              </w:rPr>
            </w:pPr>
            <w:r>
              <w:rPr>
                <w:rFonts w:hint="eastAsia"/>
                <w:sz w:val="21"/>
                <w:szCs w:val="21"/>
              </w:rPr>
              <w:t>关联部门</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cs="仿宋"/>
                <w:color w:val="000000"/>
                <w:sz w:val="21"/>
                <w:szCs w:val="21"/>
              </w:rPr>
            </w:pPr>
            <w:r>
              <w:rPr>
                <w:rFonts w:hint="eastAsia"/>
                <w:sz w:val="21"/>
                <w:szCs w:val="21"/>
              </w:rPr>
              <w:t>关联问题所涉及的部门或制度。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rFonts w:ascii="仿宋" w:hAnsi="仿宋" w:cs="仿宋"/>
                <w:color w:val="000000"/>
                <w:sz w:val="21"/>
                <w:szCs w:val="21"/>
              </w:rPr>
            </w:pPr>
            <w:r>
              <w:rPr>
                <w:rFonts w:hint="eastAsia"/>
                <w:sz w:val="21"/>
                <w:szCs w:val="21"/>
              </w:rPr>
              <w:t>负责人</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rFonts w:ascii="仿宋" w:hAnsi="仿宋" w:cs="仿宋"/>
                <w:color w:val="000000"/>
                <w:sz w:val="21"/>
                <w:szCs w:val="21"/>
              </w:rPr>
            </w:pPr>
            <w:r>
              <w:rPr>
                <w:rFonts w:hint="eastAsia"/>
                <w:sz w:val="21"/>
                <w:szCs w:val="21"/>
              </w:rPr>
              <w:t>指定负责解决问题的责任人。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tcPr>
          <w:p>
            <w:pPr>
              <w:spacing w:line="360" w:lineRule="auto"/>
              <w:jc w:val="left"/>
              <w:rPr>
                <w:rFonts w:hint="eastAsia" w:eastAsia="宋体"/>
                <w:sz w:val="21"/>
                <w:szCs w:val="21"/>
                <w:lang w:val="en-US" w:eastAsia="zh-CN"/>
              </w:rPr>
            </w:pPr>
            <w:r>
              <w:rPr>
                <w:rFonts w:hint="eastAsia"/>
                <w:sz w:val="21"/>
                <w:szCs w:val="21"/>
                <w:lang w:val="en-US" w:eastAsia="zh-CN"/>
              </w:rPr>
              <w:t>状态</w:t>
            </w:r>
          </w:p>
        </w:tc>
        <w:tc>
          <w:tcPr>
            <w:tcW w:w="4069" w:type="pct"/>
            <w:tcBorders>
              <w:top w:val="single" w:color="auto" w:sz="4" w:space="0"/>
              <w:left w:val="single" w:color="auto" w:sz="4" w:space="0"/>
              <w:bottom w:val="single" w:color="auto" w:sz="4" w:space="0"/>
              <w:right w:val="single" w:color="auto" w:sz="4" w:space="0"/>
            </w:tcBorders>
          </w:tcPr>
          <w:p>
            <w:pPr>
              <w:spacing w:line="360" w:lineRule="auto"/>
              <w:rPr>
                <w:rFonts w:hint="default" w:eastAsia="宋体"/>
                <w:sz w:val="21"/>
                <w:szCs w:val="21"/>
                <w:lang w:val="en-US" w:eastAsia="zh-CN"/>
              </w:rPr>
            </w:pPr>
            <w:r>
              <w:rPr>
                <w:rFonts w:hint="eastAsia"/>
                <w:sz w:val="21"/>
                <w:szCs w:val="21"/>
                <w:lang w:val="en-US" w:eastAsia="zh-CN"/>
              </w:rPr>
              <w:t>显示问题的状态信息，包含未整改、部分整改、已整改</w:t>
            </w:r>
          </w:p>
        </w:tc>
      </w:tr>
    </w:tbl>
    <w:p>
      <w:pPr>
        <w:pStyle w:val="5"/>
        <w:rPr>
          <w:rFonts w:hint="eastAsia"/>
          <w:lang w:val="en-US" w:eastAsia="zh-CN"/>
        </w:rPr>
      </w:pPr>
    </w:p>
    <w:p>
      <w:pPr>
        <w:pStyle w:val="7"/>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权限需求</w:t>
      </w:r>
    </w:p>
    <w:tbl>
      <w:tblPr>
        <w:tblStyle w:val="34"/>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843"/>
        <w:gridCol w:w="1701"/>
        <w:gridCol w:w="1984"/>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84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模块</w:t>
            </w:r>
          </w:p>
        </w:tc>
        <w:tc>
          <w:tcPr>
            <w:tcW w:w="1701"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菜单权限</w:t>
            </w:r>
          </w:p>
        </w:tc>
        <w:tc>
          <w:tcPr>
            <w:tcW w:w="1984"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按钮权限</w:t>
            </w:r>
          </w:p>
        </w:tc>
        <w:tc>
          <w:tcPr>
            <w:tcW w:w="269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数据权限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1</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制度执行计划和任务管理</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2</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制度执行情况查看和评估</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3</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结果记录和整理</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4</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报告生成与导出</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5</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问题跟踪和整改管理</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bl>
    <w:p>
      <w:pPr>
        <w:pStyle w:val="5"/>
        <w:rPr>
          <w:rFonts w:hint="eastAsia"/>
          <w:lang w:val="en-US" w:eastAsia="zh-CN"/>
        </w:rPr>
      </w:pPr>
    </w:p>
    <w:p>
      <w:pPr>
        <w:pStyle w:val="6"/>
        <w:rPr>
          <w:rFonts w:hint="eastAsia" w:cs="Times New Roman" w:asciiTheme="minorEastAsia" w:hAnsiTheme="minorEastAsia" w:eastAsiaTheme="minorEastAsia"/>
          <w:b/>
          <w:bCs/>
          <w:kern w:val="2"/>
          <w:sz w:val="24"/>
          <w:szCs w:val="24"/>
          <w:lang w:val="en-US" w:eastAsia="zh-CN" w:bidi="ar-SA"/>
        </w:rPr>
      </w:pPr>
      <w:r>
        <w:rPr>
          <w:rFonts w:hint="eastAsia" w:cs="Times New Roman" w:asciiTheme="minorEastAsia" w:hAnsiTheme="minorEastAsia" w:eastAsiaTheme="minorEastAsia"/>
          <w:b/>
          <w:bCs/>
          <w:kern w:val="2"/>
          <w:sz w:val="24"/>
          <w:szCs w:val="24"/>
          <w:lang w:val="en-US" w:eastAsia="zh-CN" w:bidi="ar-SA"/>
        </w:rPr>
        <w:t>内控风险管理</w:t>
      </w:r>
      <w:bookmarkEnd w:id="58"/>
    </w:p>
    <w:p>
      <w:pPr>
        <w:pStyle w:val="7"/>
      </w:pPr>
      <w:bookmarkStart w:id="59" w:name="_Toc4458"/>
      <w:r>
        <w:rPr>
          <w:rFonts w:hint="eastAsia"/>
          <w:lang w:val="en-US" w:eastAsia="zh-CN"/>
        </w:rPr>
        <w:t>功能描述</w:t>
      </w:r>
    </w:p>
    <w:p>
      <w:pPr>
        <w:numPr>
          <w:ilvl w:val="0"/>
          <w:numId w:val="16"/>
        </w:numPr>
        <w:spacing w:line="360" w:lineRule="auto"/>
        <w:ind w:firstLine="482" w:firstLineChars="200"/>
        <w:rPr>
          <w:rFonts w:hint="eastAsia"/>
          <w:b/>
          <w:bCs/>
          <w:sz w:val="24"/>
          <w:szCs w:val="24"/>
          <w:lang w:val="en-US" w:eastAsia="zh-CN"/>
        </w:rPr>
      </w:pPr>
      <w:r>
        <w:rPr>
          <w:rFonts w:hint="eastAsia"/>
          <w:b/>
          <w:bCs/>
          <w:sz w:val="24"/>
          <w:szCs w:val="24"/>
          <w:lang w:val="en-US" w:eastAsia="zh-CN"/>
        </w:rPr>
        <w:t>内部控制制度管理</w:t>
      </w:r>
    </w:p>
    <w:p>
      <w:pPr>
        <w:spacing w:line="360" w:lineRule="auto"/>
        <w:ind w:firstLine="420" w:firstLineChars="0"/>
        <w:rPr>
          <w:sz w:val="24"/>
          <w:szCs w:val="24"/>
        </w:rPr>
      </w:pPr>
      <w:r>
        <w:rPr>
          <w:rFonts w:hint="eastAsia"/>
          <w:sz w:val="24"/>
          <w:szCs w:val="24"/>
        </w:rPr>
        <w:t>制度创建和修改：提供创建和修改内部控制制度的功能，包括制度名称、描述、责任人等信息的录入和修改。制度发布和通知：支持内部控制制度的发布和通知功能，确保相关人员能够及时了解到制度的更新和变更。版本控制和历史记录：记录制度的版本信息和修改记录，方便追溯和查看不同版本的制度内容。</w:t>
      </w:r>
    </w:p>
    <w:p>
      <w:pPr>
        <w:numPr>
          <w:ilvl w:val="0"/>
          <w:numId w:val="16"/>
        </w:numPr>
        <w:spacing w:line="360" w:lineRule="auto"/>
        <w:ind w:firstLine="482" w:firstLineChars="200"/>
        <w:rPr>
          <w:rFonts w:hint="eastAsia"/>
          <w:b/>
          <w:bCs/>
          <w:sz w:val="24"/>
          <w:szCs w:val="24"/>
          <w:lang w:val="en-US" w:eastAsia="zh-CN"/>
        </w:rPr>
      </w:pPr>
      <w:r>
        <w:rPr>
          <w:rFonts w:hint="eastAsia"/>
          <w:b/>
          <w:bCs/>
          <w:sz w:val="24"/>
          <w:szCs w:val="24"/>
          <w:lang w:val="en-US" w:eastAsia="zh-CN"/>
        </w:rPr>
        <w:t>风险评估和管理</w:t>
      </w:r>
    </w:p>
    <w:p>
      <w:pPr>
        <w:spacing w:line="360" w:lineRule="auto"/>
        <w:ind w:firstLine="420" w:firstLineChars="0"/>
        <w:rPr>
          <w:sz w:val="24"/>
          <w:szCs w:val="24"/>
        </w:rPr>
      </w:pPr>
      <w:r>
        <w:rPr>
          <w:rFonts w:hint="eastAsia"/>
          <w:sz w:val="24"/>
          <w:szCs w:val="24"/>
        </w:rPr>
        <w:t>风险库：收集和登记各类风险的详细信息，包括风险名称、描述、影响程度、可能性等字段。风险识别和评估：提供风险识别和评估的功能，包括风险分类、评估指标、影响程度和可能性的定义等。风险监控和报告：建立风险监控机制，定期或实时监控风险的实施和效果，并生成风险报告供管理层决策参考。风险台账：记录发生风险的历史信息，对风险进行跟踪和监控。</w:t>
      </w:r>
    </w:p>
    <w:p>
      <w:pPr>
        <w:pStyle w:val="7"/>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数据需求</w:t>
      </w:r>
    </w:p>
    <w:p>
      <w:pPr>
        <w:pStyle w:val="5"/>
        <w:rPr>
          <w:rFonts w:hint="default"/>
          <w:lang w:val="en-US" w:eastAsia="zh-CN"/>
        </w:rPr>
      </w:pPr>
      <w:r>
        <w:rPr>
          <w:rFonts w:hint="eastAsia" w:cs="Times New Roman"/>
          <w:b/>
          <w:bCs/>
          <w:kern w:val="2"/>
          <w:sz w:val="24"/>
          <w:szCs w:val="24"/>
          <w:lang w:val="en-US" w:eastAsia="zh-CN" w:bidi="ar-SA"/>
        </w:rPr>
        <w:t>1、风险库</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rPr>
              <w:t>风险库</w:t>
            </w:r>
            <w:r>
              <w:rPr>
                <w:rFonts w:hint="eastAsia" w:ascii="仿宋" w:hAnsi="仿宋" w:cs="仿宋"/>
                <w:color w:val="000000"/>
                <w:sz w:val="24"/>
                <w:szCs w:val="24"/>
                <w:lang w:val="en-US" w:eastAsia="zh-CN"/>
              </w:rPr>
              <w:t>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唯一标识符，用于识别每个风险条目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风险名称</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简明描述风险的名称或标题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描述</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详细说明风险的性质、来源、可能性和影响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风险分类</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将风险归类到特定的风险类别或类型，如财务风险、合规风险等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风险级别</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根据影响程度和可能性评估，对风险进行等级划分，例如低、中、高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影响程度</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描述风险发生时对组织的具体影响，包括财务损失、声誉影响等。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cs="仿宋"/>
                <w:color w:val="000000"/>
                <w:sz w:val="21"/>
                <w:szCs w:val="21"/>
              </w:rPr>
            </w:pPr>
            <w:r>
              <w:rPr>
                <w:rFonts w:hint="eastAsia" w:ascii="仿宋" w:hAnsi="仿宋" w:cs="仿宋"/>
                <w:color w:val="000000"/>
                <w:sz w:val="21"/>
                <w:szCs w:val="21"/>
              </w:rPr>
              <w:t>风险概率</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cs="仿宋"/>
                <w:color w:val="000000"/>
                <w:sz w:val="21"/>
                <w:szCs w:val="21"/>
              </w:rPr>
            </w:pPr>
            <w:r>
              <w:rPr>
                <w:rFonts w:hint="eastAsia" w:ascii="仿宋" w:hAnsi="仿宋" w:cs="仿宋"/>
                <w:color w:val="000000"/>
                <w:sz w:val="21"/>
                <w:szCs w:val="21"/>
              </w:rPr>
              <w:t>风险发生的可能性评估，例如低、中、高概率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cs="仿宋"/>
                <w:color w:val="000000"/>
                <w:sz w:val="21"/>
                <w:szCs w:val="21"/>
              </w:rPr>
            </w:pPr>
            <w:r>
              <w:rPr>
                <w:rFonts w:hint="eastAsia" w:ascii="仿宋" w:hAnsi="仿宋" w:cs="仿宋"/>
                <w:color w:val="000000"/>
                <w:sz w:val="21"/>
                <w:szCs w:val="21"/>
              </w:rPr>
              <w:t>控制措施</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cs="仿宋"/>
                <w:color w:val="000000"/>
                <w:sz w:val="21"/>
                <w:szCs w:val="21"/>
              </w:rPr>
            </w:pPr>
            <w:r>
              <w:rPr>
                <w:rFonts w:hint="eastAsia" w:ascii="仿宋" w:hAnsi="仿宋" w:cs="仿宋"/>
                <w:color w:val="000000"/>
                <w:sz w:val="21"/>
                <w:szCs w:val="21"/>
              </w:rPr>
              <w:t>描述现有的控制措施或应对策略，以减轻、防止或管理风险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cs="仿宋"/>
                <w:color w:val="000000"/>
                <w:sz w:val="21"/>
                <w:szCs w:val="21"/>
              </w:rPr>
            </w:pPr>
            <w:r>
              <w:rPr>
                <w:rFonts w:hint="eastAsia" w:ascii="仿宋" w:hAnsi="仿宋" w:cs="仿宋"/>
                <w:color w:val="000000"/>
                <w:sz w:val="21"/>
                <w:szCs w:val="21"/>
              </w:rPr>
              <w:t>责任人</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cs="仿宋"/>
                <w:color w:val="000000"/>
                <w:sz w:val="21"/>
                <w:szCs w:val="21"/>
              </w:rPr>
            </w:pPr>
            <w:r>
              <w:rPr>
                <w:rFonts w:hint="eastAsia" w:ascii="仿宋" w:hAnsi="仿宋" w:cs="仿宋"/>
                <w:color w:val="000000"/>
                <w:sz w:val="21"/>
                <w:szCs w:val="21"/>
              </w:rPr>
              <w:t>负责监督和管理风险的责任人或责任部门</w:t>
            </w:r>
          </w:p>
        </w:tc>
      </w:tr>
    </w:tbl>
    <w:p>
      <w:pPr>
        <w:pStyle w:val="5"/>
        <w:rPr>
          <w:rFonts w:hint="default"/>
          <w:lang w:val="en-US" w:eastAsia="zh-CN"/>
        </w:rPr>
      </w:pPr>
      <w:r>
        <w:rPr>
          <w:rFonts w:hint="eastAsia" w:cs="Times New Roman"/>
          <w:b/>
          <w:bCs/>
          <w:kern w:val="2"/>
          <w:sz w:val="24"/>
          <w:szCs w:val="24"/>
          <w:lang w:val="en-US" w:eastAsia="zh-CN" w:bidi="ar-SA"/>
        </w:rPr>
        <w:t>2、风险识别和评估</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rPr>
              <w:t>风险识别和评估</w:t>
            </w:r>
            <w:r>
              <w:rPr>
                <w:rFonts w:hint="eastAsia" w:ascii="仿宋" w:hAnsi="仿宋" w:cs="仿宋"/>
                <w:color w:val="000000"/>
                <w:sz w:val="24"/>
                <w:szCs w:val="24"/>
                <w:lang w:val="en-US" w:eastAsia="zh-CN"/>
              </w:rPr>
              <w:t>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显示编号，根据编号规则自动生成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风险评估指标</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显示风险评估指标信息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指标公式</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显示风险评估指标计算公式信息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评分</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显示评分信息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评分说明</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显示评分说明信息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更新人</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显示更新人信息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更新时间</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显示更新时间信息</w:t>
            </w:r>
          </w:p>
        </w:tc>
      </w:tr>
    </w:tbl>
    <w:p>
      <w:pPr>
        <w:pStyle w:val="5"/>
        <w:rPr>
          <w:rFonts w:hint="eastAsia"/>
          <w:lang w:val="en-US" w:eastAsia="zh-CN"/>
        </w:rPr>
      </w:pPr>
    </w:p>
    <w:p>
      <w:pPr>
        <w:pStyle w:val="5"/>
        <w:rPr>
          <w:rFonts w:hint="eastAsia"/>
          <w:lang w:val="en-US" w:eastAsia="zh-CN"/>
        </w:rPr>
      </w:pPr>
    </w:p>
    <w:p>
      <w:pPr>
        <w:pStyle w:val="7"/>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权限需求</w:t>
      </w:r>
    </w:p>
    <w:tbl>
      <w:tblPr>
        <w:tblStyle w:val="34"/>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843"/>
        <w:gridCol w:w="1701"/>
        <w:gridCol w:w="1984"/>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84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模块</w:t>
            </w:r>
          </w:p>
        </w:tc>
        <w:tc>
          <w:tcPr>
            <w:tcW w:w="1701"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菜单权限</w:t>
            </w:r>
          </w:p>
        </w:tc>
        <w:tc>
          <w:tcPr>
            <w:tcW w:w="1984"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按钮权限</w:t>
            </w:r>
          </w:p>
        </w:tc>
        <w:tc>
          <w:tcPr>
            <w:tcW w:w="269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数据权限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1</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风险库</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2</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内部内控制度</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3</w:t>
            </w:r>
          </w:p>
        </w:tc>
        <w:tc>
          <w:tcPr>
            <w:tcW w:w="1843"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rPr>
              <w:t>风险识别与</w:t>
            </w:r>
            <w:r>
              <w:rPr>
                <w:rFonts w:hint="eastAsia" w:ascii="宋体" w:hAnsi="宋体" w:eastAsia="宋体" w:cs="宋体"/>
                <w:sz w:val="21"/>
                <w:szCs w:val="21"/>
                <w:lang w:val="en-US" w:eastAsia="zh-CN"/>
              </w:rPr>
              <w:t>预警</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bl>
    <w:p>
      <w:pPr>
        <w:pStyle w:val="5"/>
        <w:rPr>
          <w:rFonts w:hint="eastAsia"/>
          <w:lang w:val="en-US" w:eastAsia="zh-CN"/>
        </w:rPr>
      </w:pPr>
    </w:p>
    <w:p>
      <w:pPr>
        <w:pStyle w:val="6"/>
        <w:rPr>
          <w:rFonts w:asciiTheme="minorEastAsia" w:hAnsiTheme="minorEastAsia" w:eastAsiaTheme="minorEastAsia"/>
          <w:sz w:val="24"/>
          <w:szCs w:val="24"/>
        </w:rPr>
      </w:pPr>
      <w:bookmarkStart w:id="60" w:name="_Toc32063"/>
      <w:r>
        <w:rPr>
          <w:rFonts w:hint="eastAsia" w:asciiTheme="minorEastAsia" w:hAnsiTheme="minorEastAsia" w:eastAsiaTheme="minorEastAsia"/>
          <w:sz w:val="24"/>
          <w:szCs w:val="24"/>
          <w:lang w:val="en-US" w:eastAsia="zh-CN"/>
        </w:rPr>
        <w:t>法务资源管理</w:t>
      </w:r>
      <w:bookmarkEnd w:id="60"/>
    </w:p>
    <w:p>
      <w:pPr>
        <w:pStyle w:val="7"/>
      </w:pPr>
      <w:bookmarkStart w:id="61" w:name="_Toc19880"/>
      <w:r>
        <w:rPr>
          <w:rFonts w:hint="eastAsia"/>
          <w:lang w:val="en-US" w:eastAsia="zh-CN"/>
        </w:rPr>
        <w:t>功能描述</w:t>
      </w:r>
      <w:bookmarkEnd w:id="61"/>
    </w:p>
    <w:p>
      <w:pPr>
        <w:spacing w:line="360" w:lineRule="auto"/>
        <w:ind w:firstLine="420" w:firstLineChars="0"/>
        <w:rPr>
          <w:b/>
          <w:bCs/>
          <w:sz w:val="24"/>
          <w:szCs w:val="24"/>
        </w:rPr>
      </w:pPr>
      <w:r>
        <w:rPr>
          <w:rFonts w:hint="eastAsia"/>
          <w:b/>
          <w:bCs/>
          <w:sz w:val="24"/>
          <w:szCs w:val="24"/>
          <w:lang w:val="en-US" w:eastAsia="zh-CN"/>
        </w:rPr>
        <w:t>1、法务人员</w:t>
      </w:r>
      <w:r>
        <w:rPr>
          <w:rFonts w:hint="eastAsia"/>
          <w:b/>
          <w:bCs/>
          <w:sz w:val="24"/>
          <w:szCs w:val="24"/>
        </w:rPr>
        <w:t>管理</w:t>
      </w:r>
    </w:p>
    <w:p>
      <w:pPr>
        <w:spacing w:line="360" w:lineRule="auto"/>
        <w:ind w:firstLine="420" w:firstLineChars="0"/>
        <w:rPr>
          <w:rFonts w:hint="eastAsia"/>
          <w:sz w:val="24"/>
          <w:szCs w:val="24"/>
          <w:lang w:val="en-US" w:eastAsia="zh-CN"/>
        </w:rPr>
      </w:pPr>
      <w:r>
        <w:rPr>
          <w:rFonts w:hint="eastAsia"/>
          <w:sz w:val="24"/>
          <w:szCs w:val="24"/>
          <w:lang w:val="en-US" w:eastAsia="zh-CN"/>
        </w:rPr>
        <w:t>法务人员信息包含基本信息、学历信息、资质信息、其他信息四类，基本信息包含法务人员的姓名、所属部门、所属岗位、性别、职务、手机号码、擅长领域等信息；学历信息包含学历、毕业院校、毕业时间、专业等信息；资质信息包含律考情况、是否公司律师、社会职称等信息。</w:t>
      </w:r>
    </w:p>
    <w:p>
      <w:pPr>
        <w:pStyle w:val="2"/>
        <w:ind w:left="0" w:leftChars="0" w:firstLine="420" w:firstLineChars="0"/>
        <w:rPr>
          <w:rFonts w:hint="default"/>
          <w:lang w:val="en-US" w:eastAsia="zh-CN"/>
        </w:rPr>
      </w:pPr>
      <w:r>
        <w:rPr>
          <w:rFonts w:hint="eastAsia"/>
          <w:sz w:val="24"/>
          <w:szCs w:val="24"/>
          <w:lang w:val="en-US" w:eastAsia="zh-CN"/>
        </w:rPr>
        <w:t>法务人员管理需支持法务人员信息的新增、编辑、删除、查看等功能操作。</w:t>
      </w:r>
    </w:p>
    <w:p>
      <w:pPr>
        <w:spacing w:line="360" w:lineRule="auto"/>
        <w:ind w:firstLine="420" w:firstLineChars="0"/>
        <w:rPr>
          <w:b/>
          <w:bCs/>
          <w:sz w:val="24"/>
          <w:szCs w:val="24"/>
        </w:rPr>
      </w:pPr>
      <w:r>
        <w:rPr>
          <w:rFonts w:hint="eastAsia"/>
          <w:b/>
          <w:bCs/>
          <w:sz w:val="24"/>
          <w:szCs w:val="24"/>
          <w:lang w:val="en-US" w:eastAsia="zh-CN"/>
        </w:rPr>
        <w:t>2、律师事务所</w:t>
      </w:r>
      <w:r>
        <w:rPr>
          <w:rFonts w:hint="eastAsia"/>
          <w:b/>
          <w:bCs/>
          <w:sz w:val="24"/>
          <w:szCs w:val="24"/>
        </w:rPr>
        <w:t>管理</w:t>
      </w:r>
    </w:p>
    <w:p>
      <w:pPr>
        <w:spacing w:line="360" w:lineRule="auto"/>
        <w:ind w:firstLine="420" w:firstLineChars="0"/>
        <w:rPr>
          <w:rFonts w:hint="default" w:eastAsia="宋体"/>
          <w:sz w:val="24"/>
          <w:szCs w:val="24"/>
          <w:lang w:val="en-US" w:eastAsia="zh-CN"/>
        </w:rPr>
      </w:pPr>
      <w:r>
        <w:rPr>
          <w:rFonts w:hint="eastAsia"/>
          <w:sz w:val="24"/>
          <w:szCs w:val="24"/>
          <w:lang w:val="en-US" w:eastAsia="zh-CN"/>
        </w:rPr>
        <w:t>律师事务所信息包含基本信息、联系人信息二类，基本信息包含律所名称、编号、成立时间、证件类型、证件号码、服务领域、服务地区、典型客户、律所简介等信息；联系人信息包含联系人名称、联系人电话号码、联系地址、电子邮箱、岗位等信息。</w:t>
      </w:r>
    </w:p>
    <w:p>
      <w:pPr>
        <w:pStyle w:val="2"/>
        <w:ind w:left="0" w:leftChars="0" w:firstLine="420" w:firstLineChars="0"/>
        <w:rPr>
          <w:rFonts w:hint="default" w:eastAsia="宋体"/>
          <w:lang w:val="en-US" w:eastAsia="zh-CN"/>
        </w:rPr>
      </w:pPr>
      <w:r>
        <w:rPr>
          <w:rFonts w:hint="eastAsia"/>
          <w:sz w:val="24"/>
          <w:szCs w:val="24"/>
          <w:lang w:val="en-US" w:eastAsia="zh-CN"/>
        </w:rPr>
        <w:t>律师事务所管理支持对事务所的新增、变更、停用、移入黑名单等功能操作。</w:t>
      </w:r>
    </w:p>
    <w:p>
      <w:pPr>
        <w:spacing w:line="360" w:lineRule="auto"/>
        <w:ind w:firstLine="420" w:firstLineChars="0"/>
        <w:rPr>
          <w:b/>
          <w:bCs/>
          <w:sz w:val="24"/>
          <w:szCs w:val="24"/>
        </w:rPr>
      </w:pPr>
      <w:r>
        <w:rPr>
          <w:rFonts w:hint="eastAsia"/>
          <w:b/>
          <w:bCs/>
          <w:sz w:val="24"/>
          <w:szCs w:val="24"/>
          <w:lang w:val="en-US" w:eastAsia="zh-CN"/>
        </w:rPr>
        <w:t>3、服务评价</w:t>
      </w:r>
      <w:r>
        <w:rPr>
          <w:rFonts w:hint="eastAsia"/>
          <w:b/>
          <w:bCs/>
          <w:sz w:val="24"/>
          <w:szCs w:val="24"/>
        </w:rPr>
        <w:t>管理</w:t>
      </w:r>
    </w:p>
    <w:p>
      <w:pPr>
        <w:pStyle w:val="5"/>
        <w:rPr>
          <w:rFonts w:hint="eastAsia"/>
          <w:sz w:val="24"/>
          <w:szCs w:val="24"/>
          <w:lang w:val="en-US" w:eastAsia="zh-CN"/>
        </w:rPr>
      </w:pPr>
      <w:r>
        <w:rPr>
          <w:rFonts w:hint="eastAsia"/>
          <w:sz w:val="24"/>
          <w:szCs w:val="24"/>
          <w:lang w:val="en-US" w:eastAsia="zh-CN"/>
        </w:rPr>
        <w:t>服务评价管理包含服务评价标准和评价两块功能，服务评价标准是对律所或律师的服务进行评价的标准规则管理，如法律文件质量、风险应对方案、响应速度、工作态度等标准。支持服务评价标准的新增、变更、停用等操作。</w:t>
      </w:r>
    </w:p>
    <w:p>
      <w:pPr>
        <w:pStyle w:val="5"/>
        <w:rPr>
          <w:rFonts w:hint="eastAsia"/>
          <w:sz w:val="24"/>
          <w:szCs w:val="24"/>
          <w:lang w:val="en-US" w:eastAsia="zh-CN"/>
        </w:rPr>
      </w:pPr>
      <w:r>
        <w:rPr>
          <w:rFonts w:hint="eastAsia"/>
          <w:sz w:val="24"/>
          <w:szCs w:val="24"/>
          <w:lang w:val="en-US" w:eastAsia="zh-CN"/>
        </w:rPr>
        <w:t>评价是律师或律所有新的服务记录产生后，由评价人员对律所和律师的服务按照服务评价标准进行评分，对每项标准进行评分，系统自动根据每项的权重计算总分。</w:t>
      </w:r>
    </w:p>
    <w:p>
      <w:pPr>
        <w:pStyle w:val="5"/>
        <w:rPr>
          <w:rFonts w:hint="default"/>
          <w:sz w:val="24"/>
          <w:szCs w:val="24"/>
          <w:lang w:val="en-US" w:eastAsia="zh-CN"/>
        </w:rPr>
      </w:pPr>
      <w:r>
        <w:rPr>
          <w:rFonts w:hint="eastAsia"/>
          <w:sz w:val="24"/>
          <w:szCs w:val="24"/>
          <w:lang w:val="en-US" w:eastAsia="zh-CN"/>
        </w:rPr>
        <w:t>对服务评价分数低于集团要求的标准的律师或律所，可移入黑名单。在移入黑名单时需填写对应的移入黑名单的理由等信息。</w:t>
      </w:r>
    </w:p>
    <w:p>
      <w:pPr>
        <w:pStyle w:val="7"/>
        <w:rPr>
          <w:rFonts w:hint="eastAsia" w:ascii="Times New Roman" w:hAnsi="Times New Roman" w:eastAsia="宋体" w:cs="Times New Roman"/>
          <w:b/>
          <w:bCs/>
          <w:kern w:val="2"/>
          <w:sz w:val="24"/>
          <w:szCs w:val="24"/>
          <w:lang w:val="en-US" w:eastAsia="zh-CN" w:bidi="ar-SA"/>
        </w:rPr>
      </w:pPr>
      <w:bookmarkStart w:id="62" w:name="_Toc9374"/>
      <w:r>
        <w:rPr>
          <w:rFonts w:hint="eastAsia" w:cs="Times New Roman"/>
          <w:b/>
          <w:bCs/>
          <w:kern w:val="2"/>
          <w:sz w:val="24"/>
          <w:szCs w:val="24"/>
          <w:lang w:val="en-US" w:eastAsia="zh-CN" w:bidi="ar-SA"/>
        </w:rPr>
        <w:t>数据需求</w:t>
      </w:r>
      <w:bookmarkEnd w:id="62"/>
    </w:p>
    <w:p>
      <w:pPr>
        <w:pStyle w:val="5"/>
        <w:rPr>
          <w:rFonts w:hint="default"/>
          <w:b/>
          <w:bCs/>
          <w:sz w:val="24"/>
          <w:szCs w:val="24"/>
          <w:lang w:val="en-US" w:eastAsia="zh-CN"/>
        </w:rPr>
      </w:pPr>
      <w:r>
        <w:rPr>
          <w:rFonts w:hint="eastAsia"/>
          <w:b/>
          <w:bCs/>
          <w:sz w:val="24"/>
          <w:szCs w:val="24"/>
          <w:lang w:val="en-US" w:eastAsia="zh-CN"/>
        </w:rPr>
        <w:t>1、法务人员数据表</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法务人员数据表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rPr>
              <w:t>显示编号，根据编号规则自动生成</w:t>
            </w:r>
            <w:r>
              <w:rPr>
                <w:rFonts w:hint="eastAsia" w:ascii="仿宋" w:hAnsi="仿宋" w:cs="仿宋"/>
                <w:color w:val="000000"/>
                <w:sz w:val="24"/>
                <w:szCs w:val="24"/>
                <w:lang w:eastAsia="zh-CN"/>
              </w:rPr>
              <w:t>，</w:t>
            </w:r>
            <w:r>
              <w:rPr>
                <w:rFonts w:hint="eastAsia" w:ascii="仿宋" w:hAnsi="仿宋" w:cs="仿宋"/>
                <w:color w:val="000000"/>
                <w:sz w:val="24"/>
                <w:szCs w:val="24"/>
                <w:lang w:val="en-US" w:eastAsia="zh-CN"/>
              </w:rPr>
              <w:t>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姓名</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显示法务人员姓名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职位</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显示法务人员职位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擅长领域</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显示法务人员擅长领域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资质</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显示法务人员相关资质信息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工作时间</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显示法务人员工作时间信息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参与项目</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显示法务人员参与项目信息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最高学历</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cs="仿宋"/>
                <w:color w:val="000000"/>
                <w:sz w:val="24"/>
                <w:szCs w:val="24"/>
                <w:lang w:val="en-US" w:eastAsia="zh-CN"/>
              </w:rPr>
            </w:pPr>
            <w:r>
              <w:rPr>
                <w:rFonts w:hint="eastAsia" w:ascii="仿宋" w:hAnsi="仿宋" w:cs="仿宋"/>
                <w:color w:val="000000"/>
                <w:sz w:val="24"/>
                <w:szCs w:val="24"/>
                <w:lang w:val="en-US" w:eastAsia="zh-CN"/>
              </w:rPr>
              <w:t>显示最高学习信息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cs="仿宋"/>
                <w:color w:val="000000"/>
                <w:sz w:val="24"/>
                <w:szCs w:val="24"/>
                <w:lang w:val="en-US" w:eastAsia="zh-CN"/>
              </w:rPr>
            </w:pPr>
            <w:r>
              <w:rPr>
                <w:rFonts w:hint="eastAsia" w:ascii="仿宋" w:hAnsi="仿宋" w:cs="仿宋"/>
                <w:color w:val="000000"/>
                <w:sz w:val="24"/>
                <w:szCs w:val="24"/>
                <w:lang w:val="en-US" w:eastAsia="zh-CN"/>
              </w:rPr>
              <w:t>毕业院校</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cs="仿宋"/>
                <w:color w:val="000000"/>
                <w:sz w:val="24"/>
                <w:szCs w:val="24"/>
                <w:lang w:val="en-US" w:eastAsia="zh-CN"/>
              </w:rPr>
            </w:pPr>
            <w:r>
              <w:rPr>
                <w:rFonts w:hint="eastAsia" w:ascii="仿宋" w:hAnsi="仿宋" w:cs="仿宋"/>
                <w:color w:val="000000"/>
                <w:sz w:val="24"/>
                <w:szCs w:val="24"/>
                <w:lang w:val="en-US" w:eastAsia="zh-CN"/>
              </w:rPr>
              <w:t>显示毕业院校信息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cs="仿宋"/>
                <w:color w:val="000000"/>
                <w:sz w:val="24"/>
                <w:szCs w:val="24"/>
                <w:lang w:val="en-US" w:eastAsia="zh-CN"/>
              </w:rPr>
            </w:pPr>
            <w:r>
              <w:rPr>
                <w:rFonts w:hint="eastAsia" w:ascii="仿宋" w:hAnsi="仿宋" w:cs="仿宋"/>
                <w:color w:val="000000"/>
                <w:sz w:val="24"/>
                <w:szCs w:val="24"/>
                <w:lang w:val="en-US" w:eastAsia="zh-CN"/>
              </w:rPr>
              <w:t>毕业时间</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cs="仿宋"/>
                <w:color w:val="000000"/>
                <w:sz w:val="24"/>
                <w:szCs w:val="24"/>
                <w:lang w:val="en-US" w:eastAsia="zh-CN"/>
              </w:rPr>
            </w:pPr>
            <w:r>
              <w:rPr>
                <w:rFonts w:hint="eastAsia" w:ascii="仿宋" w:hAnsi="仿宋" w:cs="仿宋"/>
                <w:color w:val="000000"/>
                <w:sz w:val="24"/>
                <w:szCs w:val="24"/>
                <w:lang w:val="en-US" w:eastAsia="zh-CN"/>
              </w:rPr>
              <w:t>显示毕业时间信息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cs="仿宋"/>
                <w:color w:val="000000"/>
                <w:sz w:val="24"/>
                <w:szCs w:val="24"/>
                <w:lang w:val="en-US" w:eastAsia="zh-CN"/>
              </w:rPr>
            </w:pPr>
            <w:r>
              <w:rPr>
                <w:rFonts w:hint="eastAsia" w:ascii="仿宋" w:hAnsi="仿宋" w:cs="仿宋"/>
                <w:color w:val="000000"/>
                <w:sz w:val="24"/>
                <w:szCs w:val="24"/>
                <w:lang w:val="en-US" w:eastAsia="zh-CN"/>
              </w:rPr>
              <w:t>专业</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cs="仿宋"/>
                <w:color w:val="000000"/>
                <w:sz w:val="24"/>
                <w:szCs w:val="24"/>
                <w:lang w:val="en-US" w:eastAsia="zh-CN"/>
              </w:rPr>
            </w:pPr>
            <w:r>
              <w:rPr>
                <w:rFonts w:hint="eastAsia" w:ascii="仿宋" w:hAnsi="仿宋" w:cs="仿宋"/>
                <w:color w:val="000000"/>
                <w:sz w:val="24"/>
                <w:szCs w:val="24"/>
                <w:lang w:val="en-US" w:eastAsia="zh-CN"/>
              </w:rPr>
              <w:t>显示专业信息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cs="仿宋"/>
                <w:color w:val="000000"/>
                <w:sz w:val="24"/>
                <w:szCs w:val="24"/>
                <w:lang w:val="en-US" w:eastAsia="zh-CN"/>
              </w:rPr>
            </w:pPr>
            <w:r>
              <w:rPr>
                <w:rFonts w:hint="eastAsia" w:ascii="仿宋" w:hAnsi="仿宋" w:cs="仿宋"/>
                <w:color w:val="000000"/>
                <w:sz w:val="24"/>
                <w:szCs w:val="24"/>
                <w:lang w:val="en-US" w:eastAsia="zh-CN"/>
              </w:rPr>
              <w:t>律考情况</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cs="仿宋"/>
                <w:color w:val="000000"/>
                <w:sz w:val="24"/>
                <w:szCs w:val="24"/>
                <w:lang w:val="en-US" w:eastAsia="zh-CN"/>
              </w:rPr>
            </w:pPr>
            <w:r>
              <w:rPr>
                <w:rFonts w:hint="eastAsia" w:ascii="仿宋" w:hAnsi="仿宋" w:cs="仿宋"/>
                <w:color w:val="000000"/>
                <w:sz w:val="24"/>
                <w:szCs w:val="24"/>
                <w:lang w:val="en-US" w:eastAsia="zh-CN"/>
              </w:rPr>
              <w:t>显示律考情况信息，是/否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cs="仿宋"/>
                <w:color w:val="000000"/>
                <w:sz w:val="24"/>
                <w:szCs w:val="24"/>
                <w:lang w:val="en-US" w:eastAsia="zh-CN"/>
              </w:rPr>
            </w:pPr>
            <w:r>
              <w:rPr>
                <w:rFonts w:hint="eastAsia" w:ascii="仿宋" w:hAnsi="仿宋" w:cs="仿宋"/>
                <w:color w:val="000000"/>
                <w:sz w:val="24"/>
                <w:szCs w:val="24"/>
                <w:lang w:val="en-US" w:eastAsia="zh-CN"/>
              </w:rPr>
              <w:t>是否公司律师</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cs="仿宋"/>
                <w:color w:val="000000"/>
                <w:sz w:val="24"/>
                <w:szCs w:val="24"/>
                <w:lang w:val="en-US" w:eastAsia="zh-CN"/>
              </w:rPr>
            </w:pPr>
            <w:r>
              <w:rPr>
                <w:rFonts w:hint="eastAsia" w:ascii="仿宋" w:hAnsi="仿宋" w:cs="仿宋"/>
                <w:color w:val="000000"/>
                <w:sz w:val="24"/>
                <w:szCs w:val="24"/>
                <w:lang w:val="en-US" w:eastAsia="zh-CN"/>
              </w:rPr>
              <w:t>显示是否公司律师信息，是/否</w:t>
            </w:r>
          </w:p>
        </w:tc>
      </w:tr>
    </w:tbl>
    <w:p>
      <w:pPr>
        <w:pStyle w:val="5"/>
        <w:rPr>
          <w:rFonts w:hint="eastAsia"/>
          <w:b/>
          <w:bCs/>
          <w:sz w:val="24"/>
          <w:szCs w:val="24"/>
          <w:lang w:val="en-US" w:eastAsia="zh-CN"/>
        </w:rPr>
      </w:pPr>
    </w:p>
    <w:p>
      <w:pPr>
        <w:pStyle w:val="5"/>
        <w:rPr>
          <w:rFonts w:hint="default"/>
          <w:b/>
          <w:bCs/>
          <w:sz w:val="24"/>
          <w:szCs w:val="24"/>
          <w:lang w:val="en-US" w:eastAsia="zh-CN"/>
        </w:rPr>
      </w:pPr>
      <w:r>
        <w:rPr>
          <w:rFonts w:hint="eastAsia"/>
          <w:b/>
          <w:bCs/>
          <w:sz w:val="24"/>
          <w:szCs w:val="24"/>
          <w:lang w:val="en-US" w:eastAsia="zh-CN"/>
        </w:rPr>
        <w:t>2、律师事务所数据表</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律师事务所数据表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社会信用统一代码</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rPr>
              <w:t>显示</w:t>
            </w:r>
            <w:r>
              <w:rPr>
                <w:rFonts w:hint="eastAsia" w:ascii="仿宋" w:hAnsi="仿宋" w:cs="仿宋"/>
                <w:color w:val="000000"/>
                <w:sz w:val="24"/>
                <w:szCs w:val="24"/>
                <w:lang w:val="en-US" w:eastAsia="zh-CN"/>
              </w:rPr>
              <w:t>事务所社会信用统一代码</w:t>
            </w:r>
            <w:r>
              <w:rPr>
                <w:rFonts w:hint="eastAsia" w:ascii="仿宋" w:hAnsi="仿宋" w:cs="仿宋"/>
                <w:color w:val="000000"/>
                <w:sz w:val="24"/>
                <w:szCs w:val="24"/>
                <w:lang w:eastAsia="zh-CN"/>
              </w:rPr>
              <w:t>、</w:t>
            </w:r>
            <w:r>
              <w:rPr>
                <w:rFonts w:hint="eastAsia" w:ascii="仿宋" w:hAnsi="仿宋" w:cs="仿宋"/>
                <w:color w:val="000000"/>
                <w:sz w:val="24"/>
                <w:szCs w:val="24"/>
                <w:lang w:val="en-US" w:eastAsia="zh-CN"/>
              </w:rPr>
              <w:t>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名称</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显示事务所名称信息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营业执照</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显示事务所营业执照信息，附件格式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法人</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显示事务所法人信息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资质</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显示事务所相关资质信息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联系人</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显示事务所联系人名称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联系人职位</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显示事务所联系人职位信息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ascii="仿宋" w:hAnsi="仿宋" w:cs="仿宋"/>
                <w:color w:val="000000"/>
                <w:sz w:val="24"/>
                <w:szCs w:val="24"/>
              </w:rPr>
            </w:pPr>
            <w:r>
              <w:rPr>
                <w:rFonts w:hint="eastAsia" w:ascii="仿宋" w:hAnsi="仿宋" w:cs="仿宋"/>
                <w:color w:val="000000"/>
                <w:sz w:val="24"/>
                <w:szCs w:val="24"/>
              </w:rPr>
              <w:t>联系人电话</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显示事务所联系人电话信息</w:t>
            </w:r>
          </w:p>
        </w:tc>
      </w:tr>
    </w:tbl>
    <w:p>
      <w:pPr>
        <w:pStyle w:val="7"/>
        <w:rPr>
          <w:rFonts w:hint="eastAsia" w:ascii="Times New Roman" w:hAnsi="Times New Roman" w:eastAsia="宋体" w:cs="Times New Roman"/>
          <w:b/>
          <w:bCs/>
          <w:kern w:val="2"/>
          <w:sz w:val="24"/>
          <w:szCs w:val="24"/>
          <w:lang w:val="en-US" w:eastAsia="zh-CN" w:bidi="ar-SA"/>
        </w:rPr>
      </w:pPr>
      <w:bookmarkStart w:id="63" w:name="_Toc13911"/>
      <w:r>
        <w:rPr>
          <w:rFonts w:hint="eastAsia" w:cs="Times New Roman"/>
          <w:b/>
          <w:bCs/>
          <w:kern w:val="2"/>
          <w:sz w:val="24"/>
          <w:szCs w:val="24"/>
          <w:lang w:val="en-US" w:eastAsia="zh-CN" w:bidi="ar-SA"/>
        </w:rPr>
        <w:t>权限需求</w:t>
      </w:r>
      <w:bookmarkEnd w:id="63"/>
    </w:p>
    <w:tbl>
      <w:tblPr>
        <w:tblStyle w:val="34"/>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843"/>
        <w:gridCol w:w="1701"/>
        <w:gridCol w:w="1984"/>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6"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84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模块</w:t>
            </w:r>
          </w:p>
        </w:tc>
        <w:tc>
          <w:tcPr>
            <w:tcW w:w="1701"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菜单权限</w:t>
            </w:r>
          </w:p>
        </w:tc>
        <w:tc>
          <w:tcPr>
            <w:tcW w:w="1984"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按钮权限</w:t>
            </w:r>
          </w:p>
        </w:tc>
        <w:tc>
          <w:tcPr>
            <w:tcW w:w="269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数据权限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1</w:t>
            </w:r>
          </w:p>
        </w:tc>
        <w:tc>
          <w:tcPr>
            <w:tcW w:w="184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审计计划</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bl>
    <w:p>
      <w:pPr>
        <w:pStyle w:val="5"/>
        <w:rPr>
          <w:rFonts w:hint="eastAsia"/>
          <w:lang w:val="en-US" w:eastAsia="zh-CN"/>
        </w:rPr>
      </w:pPr>
    </w:p>
    <w:p>
      <w:pPr>
        <w:pStyle w:val="6"/>
        <w:rPr>
          <w:rFonts w:hint="eastAsia" w:cs="Times New Roman" w:asciiTheme="minorEastAsia" w:hAnsiTheme="minorEastAsia" w:eastAsiaTheme="minorEastAsia"/>
          <w:b/>
          <w:bCs/>
          <w:kern w:val="2"/>
          <w:sz w:val="24"/>
          <w:szCs w:val="24"/>
          <w:lang w:val="en-US" w:eastAsia="zh-CN" w:bidi="ar-SA"/>
        </w:rPr>
      </w:pPr>
      <w:r>
        <w:rPr>
          <w:rFonts w:hint="eastAsia" w:cs="Times New Roman" w:asciiTheme="minorEastAsia" w:hAnsiTheme="minorEastAsia" w:eastAsiaTheme="minorEastAsia"/>
          <w:b/>
          <w:bCs/>
          <w:kern w:val="2"/>
          <w:sz w:val="24"/>
          <w:szCs w:val="24"/>
          <w:lang w:val="en-US" w:eastAsia="zh-CN" w:bidi="ar-SA"/>
        </w:rPr>
        <w:t>法务法规管理</w:t>
      </w:r>
      <w:bookmarkEnd w:id="59"/>
    </w:p>
    <w:p>
      <w:pPr>
        <w:pStyle w:val="7"/>
      </w:pPr>
      <w:bookmarkStart w:id="64" w:name="_Toc31563"/>
      <w:r>
        <w:rPr>
          <w:rFonts w:hint="eastAsia"/>
          <w:lang w:val="en-US" w:eastAsia="zh-CN"/>
        </w:rPr>
        <w:t>案件纠纷管理</w:t>
      </w:r>
      <w:bookmarkEnd w:id="64"/>
    </w:p>
    <w:p>
      <w:pPr>
        <w:pStyle w:val="8"/>
      </w:pPr>
      <w:r>
        <w:rPr>
          <w:rFonts w:hint="eastAsia"/>
          <w:lang w:val="en-US" w:eastAsia="zh-CN"/>
        </w:rPr>
        <w:t>功能描述</w:t>
      </w:r>
    </w:p>
    <w:p>
      <w:pPr>
        <w:pStyle w:val="5"/>
        <w:numPr>
          <w:ilvl w:val="0"/>
          <w:numId w:val="17"/>
        </w:numPr>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案件纠纷登记</w:t>
      </w:r>
    </w:p>
    <w:p>
      <w:pPr>
        <w:pStyle w:val="5"/>
        <w:numPr>
          <w:ilvl w:val="0"/>
          <w:numId w:val="0"/>
        </w:numPr>
        <w:ind w:firstLine="420" w:firstLineChars="0"/>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提供案件纠纷登记功能，案件纠纷信息包括案件编号、案件名称、案件类型、案件状态、委托人姓名、委托人联系方式、当事人信息等信息。</w:t>
      </w:r>
    </w:p>
    <w:p>
      <w:pPr>
        <w:pStyle w:val="5"/>
        <w:numPr>
          <w:ilvl w:val="0"/>
          <w:numId w:val="17"/>
        </w:numPr>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案件进展管理</w:t>
      </w:r>
    </w:p>
    <w:p>
      <w:pPr>
        <w:pStyle w:val="5"/>
        <w:numPr>
          <w:ilvl w:val="0"/>
          <w:numId w:val="0"/>
        </w:numPr>
        <w:ind w:firstLine="420" w:firstLineChars="0"/>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提供案件进展管功能，支持案件进展进度状态添加、更新案件状态、附件等操作。</w:t>
      </w:r>
    </w:p>
    <w:p>
      <w:pPr>
        <w:pStyle w:val="5"/>
        <w:numPr>
          <w:ilvl w:val="0"/>
          <w:numId w:val="17"/>
        </w:numPr>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案件结案管理</w:t>
      </w:r>
    </w:p>
    <w:p>
      <w:pPr>
        <w:pStyle w:val="5"/>
        <w:numPr>
          <w:ilvl w:val="0"/>
          <w:numId w:val="0"/>
        </w:numPr>
        <w:ind w:firstLine="420" w:firstLineChars="0"/>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提供案件结案管理功能，支持案件结案信息管理，案件执行完毕后，支持对案件作结案处理操作，以及对案件执行信息的记录更新。</w:t>
      </w:r>
    </w:p>
    <w:p>
      <w:pPr>
        <w:pStyle w:val="5"/>
        <w:numPr>
          <w:ilvl w:val="0"/>
          <w:numId w:val="17"/>
        </w:numPr>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案件统计管理</w:t>
      </w:r>
    </w:p>
    <w:p>
      <w:pPr>
        <w:pStyle w:val="5"/>
        <w:numPr>
          <w:ilvl w:val="0"/>
          <w:numId w:val="0"/>
        </w:numPr>
        <w:ind w:firstLine="420" w:firstLineChars="0"/>
        <w:rPr>
          <w:rFonts w:hint="default"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提供案件信息统计管理功能，支持按照案件数量、案件类型比例以及处理周期等指标对案件信息进行统计展示。</w:t>
      </w: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数据需求</w:t>
      </w:r>
    </w:p>
    <w:p>
      <w:pPr>
        <w:pStyle w:val="5"/>
        <w:rPr>
          <w:rFonts w:hint="default"/>
          <w:b/>
          <w:bCs/>
          <w:sz w:val="24"/>
          <w:szCs w:val="24"/>
          <w:lang w:val="en-US" w:eastAsia="zh-CN"/>
        </w:rPr>
      </w:pPr>
      <w:r>
        <w:rPr>
          <w:rFonts w:hint="eastAsia"/>
          <w:b/>
          <w:bCs/>
          <w:sz w:val="24"/>
          <w:szCs w:val="24"/>
          <w:lang w:val="en-US" w:eastAsia="zh-CN"/>
        </w:rPr>
        <w:t>1、案件纠纷数据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案件纠纷数据表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案件名称</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显示案件名称信息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案件类型</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显示案件类型信息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案件编号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显示案件编号信息，根据编码规则自动生成，唯一性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案件承办人</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显示案件承办人信息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案由分类</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显示案由分类信息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原告人信息</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显示原告人信息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涉案金额</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显示涉案金额信息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发案日期</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显示发案日期信息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受理机构</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显示受理机构信息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受理机构经办人</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显示受理机构经办人信息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是否重大</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显示是否重大案件信息，是/否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是否涉外</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显示案件信息是否涉外，是/否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争议焦点</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显示争议焦点信息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经办人</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显示经办人信息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聘请律所</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显示聘请律所名称信息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备注</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宋体" w:cs="仿宋"/>
                <w:color w:val="000000"/>
                <w:sz w:val="21"/>
                <w:szCs w:val="21"/>
                <w:lang w:val="en-US" w:eastAsia="zh-CN"/>
              </w:rPr>
            </w:pPr>
            <w:r>
              <w:rPr>
                <w:rFonts w:hint="eastAsia" w:ascii="仿宋" w:hAnsi="仿宋" w:cs="仿宋"/>
                <w:color w:val="000000"/>
                <w:sz w:val="21"/>
                <w:szCs w:val="21"/>
                <w:lang w:val="en-US" w:eastAsia="zh-CN"/>
              </w:rPr>
              <w:t>其他</w:t>
            </w:r>
            <w:r>
              <w:rPr>
                <w:rFonts w:hint="eastAsia" w:ascii="仿宋" w:hAnsi="仿宋" w:cs="仿宋"/>
                <w:color w:val="000000"/>
                <w:sz w:val="21"/>
                <w:szCs w:val="21"/>
              </w:rPr>
              <w:t>说明</w:t>
            </w:r>
          </w:p>
        </w:tc>
      </w:tr>
    </w:tbl>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权限需求</w:t>
      </w:r>
    </w:p>
    <w:tbl>
      <w:tblPr>
        <w:tblStyle w:val="34"/>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843"/>
        <w:gridCol w:w="1701"/>
        <w:gridCol w:w="1984"/>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84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模块</w:t>
            </w:r>
          </w:p>
        </w:tc>
        <w:tc>
          <w:tcPr>
            <w:tcW w:w="1701"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菜单权限</w:t>
            </w:r>
          </w:p>
        </w:tc>
        <w:tc>
          <w:tcPr>
            <w:tcW w:w="1984"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按钮权限</w:t>
            </w:r>
          </w:p>
        </w:tc>
        <w:tc>
          <w:tcPr>
            <w:tcW w:w="269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数据权限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1</w:t>
            </w:r>
          </w:p>
        </w:tc>
        <w:tc>
          <w:tcPr>
            <w:tcW w:w="1843"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案件纠纷登记</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1843"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案件纠纷进展</w:t>
            </w:r>
          </w:p>
        </w:tc>
        <w:tc>
          <w:tcPr>
            <w:tcW w:w="1701"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按角色授权</w:t>
            </w:r>
          </w:p>
        </w:tc>
        <w:tc>
          <w:tcPr>
            <w:tcW w:w="1984"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按角色授权</w:t>
            </w:r>
          </w:p>
        </w:tc>
        <w:tc>
          <w:tcPr>
            <w:tcW w:w="2693"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843"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案件结案</w:t>
            </w:r>
          </w:p>
        </w:tc>
        <w:tc>
          <w:tcPr>
            <w:tcW w:w="1701" w:type="dxa"/>
            <w:vAlign w:val="top"/>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按角色授权</w:t>
            </w:r>
          </w:p>
        </w:tc>
        <w:tc>
          <w:tcPr>
            <w:tcW w:w="1984" w:type="dxa"/>
            <w:vAlign w:val="top"/>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按角色授权</w:t>
            </w:r>
          </w:p>
        </w:tc>
        <w:tc>
          <w:tcPr>
            <w:tcW w:w="2693" w:type="dxa"/>
            <w:vAlign w:val="top"/>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1843"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案件信息查看</w:t>
            </w:r>
          </w:p>
        </w:tc>
        <w:tc>
          <w:tcPr>
            <w:tcW w:w="1701" w:type="dxa"/>
            <w:vAlign w:val="top"/>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按角色授权</w:t>
            </w:r>
          </w:p>
        </w:tc>
        <w:tc>
          <w:tcPr>
            <w:tcW w:w="1984" w:type="dxa"/>
            <w:vAlign w:val="top"/>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按角色授权</w:t>
            </w:r>
          </w:p>
        </w:tc>
        <w:tc>
          <w:tcPr>
            <w:tcW w:w="2693" w:type="dxa"/>
            <w:vAlign w:val="top"/>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按角色授权</w:t>
            </w:r>
          </w:p>
        </w:tc>
      </w:tr>
    </w:tbl>
    <w:p>
      <w:pPr>
        <w:pStyle w:val="7"/>
        <w:rPr>
          <w:rFonts w:hint="eastAsia" w:ascii="Times New Roman" w:hAnsi="Times New Roman" w:eastAsia="宋体" w:cs="Times New Roman"/>
          <w:b/>
          <w:bCs/>
          <w:kern w:val="2"/>
          <w:sz w:val="24"/>
          <w:szCs w:val="24"/>
          <w:lang w:val="en-US" w:eastAsia="zh-CN" w:bidi="ar-SA"/>
        </w:rPr>
      </w:pPr>
      <w:bookmarkStart w:id="65" w:name="_Toc16576"/>
      <w:r>
        <w:rPr>
          <w:rFonts w:hint="eastAsia" w:cs="Times New Roman"/>
          <w:b/>
          <w:bCs/>
          <w:kern w:val="2"/>
          <w:sz w:val="24"/>
          <w:szCs w:val="24"/>
          <w:lang w:val="en-US" w:eastAsia="zh-CN" w:bidi="ar-SA"/>
        </w:rPr>
        <w:t>合规履职管理</w:t>
      </w:r>
      <w:bookmarkEnd w:id="65"/>
    </w:p>
    <w:p>
      <w:pPr>
        <w:pStyle w:val="8"/>
      </w:pPr>
      <w:bookmarkStart w:id="66" w:name="_Toc17537"/>
      <w:r>
        <w:rPr>
          <w:rFonts w:hint="eastAsia"/>
          <w:lang w:val="en-US" w:eastAsia="zh-CN"/>
        </w:rPr>
        <w:t>功能描述</w:t>
      </w:r>
    </w:p>
    <w:p>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cs="宋体"/>
          <w:b/>
          <w:bCs/>
          <w:sz w:val="24"/>
          <w:szCs w:val="24"/>
          <w:lang w:val="en-US" w:eastAsia="zh-CN"/>
        </w:rPr>
        <w:t>合规履职标准管理</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宋体" w:hAnsi="宋体" w:eastAsia="宋体" w:cs="宋体"/>
          <w:sz w:val="24"/>
          <w:szCs w:val="24"/>
        </w:rPr>
      </w:pPr>
      <w:r>
        <w:rPr>
          <w:rFonts w:hint="eastAsia" w:ascii="宋体" w:hAnsi="宋体" w:eastAsia="宋体" w:cs="宋体"/>
          <w:sz w:val="24"/>
          <w:szCs w:val="24"/>
        </w:rPr>
        <w:t>提供</w:t>
      </w:r>
      <w:r>
        <w:rPr>
          <w:rFonts w:hint="eastAsia" w:ascii="宋体" w:hAnsi="宋体" w:cs="宋体"/>
          <w:sz w:val="24"/>
          <w:szCs w:val="24"/>
          <w:lang w:val="en-US" w:eastAsia="zh-CN"/>
        </w:rPr>
        <w:t>合规履职标准维护管理</w:t>
      </w:r>
      <w:r>
        <w:rPr>
          <w:rFonts w:hint="eastAsia" w:ascii="宋体" w:hAnsi="宋体" w:eastAsia="宋体" w:cs="宋体"/>
          <w:sz w:val="24"/>
          <w:szCs w:val="24"/>
        </w:rPr>
        <w:t>功能</w:t>
      </w:r>
      <w:r>
        <w:rPr>
          <w:rFonts w:hint="eastAsia" w:ascii="宋体" w:hAnsi="宋体" w:cs="宋体"/>
          <w:sz w:val="24"/>
          <w:szCs w:val="24"/>
          <w:lang w:eastAsia="zh-CN"/>
        </w:rPr>
        <w:t>，</w:t>
      </w:r>
      <w:r>
        <w:rPr>
          <w:rFonts w:hint="eastAsia" w:ascii="宋体" w:hAnsi="宋体" w:cs="宋体"/>
          <w:sz w:val="24"/>
          <w:szCs w:val="24"/>
          <w:lang w:val="en-US" w:eastAsia="zh-CN"/>
        </w:rPr>
        <w:t>包含合规履职标准的新增、更新、删除、禁用、启用操作</w:t>
      </w:r>
      <w:r>
        <w:rPr>
          <w:rFonts w:hint="eastAsia" w:ascii="宋体" w:hAnsi="宋体" w:eastAsia="宋体" w:cs="宋体"/>
          <w:sz w:val="24"/>
          <w:szCs w:val="24"/>
        </w:rPr>
        <w:t>。</w:t>
      </w:r>
    </w:p>
    <w:p>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cs="宋体"/>
          <w:b/>
          <w:bCs/>
          <w:sz w:val="24"/>
          <w:szCs w:val="24"/>
          <w:lang w:val="en-US" w:eastAsia="zh-CN"/>
        </w:rPr>
        <w:t>合规履职评价</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提供合规履职评价功能，由审计法务部的法治合规岗按照合规履职标准，对集团各部门进行合规履职评价打分，</w:t>
      </w: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数据需求</w:t>
      </w:r>
    </w:p>
    <w:p>
      <w:pPr>
        <w:pStyle w:val="5"/>
        <w:rPr>
          <w:rFonts w:hint="eastAsia" w:ascii="宋体" w:hAnsi="宋体" w:eastAsia="宋体" w:cs="宋体"/>
          <w:b/>
          <w:bCs/>
          <w:lang w:val="en-US" w:eastAsia="zh-CN"/>
        </w:rPr>
      </w:pPr>
      <w:r>
        <w:rPr>
          <w:rFonts w:hint="eastAsia" w:ascii="宋体" w:hAnsi="宋体" w:eastAsia="宋体" w:cs="宋体"/>
          <w:b/>
          <w:bCs/>
          <w:lang w:val="en-US" w:eastAsia="zh-CN"/>
        </w:rPr>
        <w:t>1、合规履职标准数据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合规履职标准数据表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显示编号信息，根据编码规则自动生成，唯一性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履职标准名称</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显示履职标准名称信息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履职标准说明</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显示履职标准说明信息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岗位</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显示该履职标准适用的岗位信息</w:t>
            </w:r>
          </w:p>
        </w:tc>
      </w:tr>
    </w:tbl>
    <w:p>
      <w:pPr>
        <w:pStyle w:val="5"/>
        <w:rPr>
          <w:rFonts w:hint="default" w:ascii="宋体" w:hAnsi="宋体" w:eastAsia="宋体" w:cs="宋体"/>
          <w:b/>
          <w:bCs/>
          <w:lang w:val="en-US" w:eastAsia="zh-CN"/>
        </w:rPr>
      </w:pPr>
      <w:r>
        <w:rPr>
          <w:rFonts w:hint="eastAsia" w:ascii="宋体" w:hAnsi="宋体" w:cs="宋体"/>
          <w:b/>
          <w:bCs/>
          <w:lang w:val="en-US" w:eastAsia="zh-CN"/>
        </w:rPr>
        <w:t>2</w:t>
      </w:r>
      <w:r>
        <w:rPr>
          <w:rFonts w:hint="eastAsia" w:ascii="宋体" w:hAnsi="宋体" w:eastAsia="宋体" w:cs="宋体"/>
          <w:b/>
          <w:bCs/>
          <w:lang w:val="en-US" w:eastAsia="zh-CN"/>
        </w:rPr>
        <w:t>、合规履职</w:t>
      </w:r>
      <w:r>
        <w:rPr>
          <w:rFonts w:hint="eastAsia" w:ascii="宋体" w:hAnsi="宋体" w:cs="宋体"/>
          <w:b/>
          <w:bCs/>
          <w:lang w:val="en-US" w:eastAsia="zh-CN"/>
        </w:rPr>
        <w:t>评价</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合规履职标准数据表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4"/>
                <w:szCs w:val="24"/>
              </w:rPr>
            </w:pPr>
            <w:r>
              <w:rPr>
                <w:rFonts w:hint="eastAsia" w:ascii="仿宋" w:hAnsi="仿宋" w:cs="仿宋"/>
                <w:color w:val="00000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编号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显示编号信息，根据编码规则自动生成，唯一性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履职标准名称</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显示履职标准名称信息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履职标准说明</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显示履职标准说明信息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岗位</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显示该履职标准适用的岗位信息</w:t>
            </w:r>
          </w:p>
        </w:tc>
      </w:tr>
    </w:tbl>
    <w:p>
      <w:pPr>
        <w:pStyle w:val="5"/>
        <w:rPr>
          <w:rFonts w:hint="eastAsia"/>
          <w:lang w:val="en-US" w:eastAsia="zh-CN"/>
        </w:rPr>
      </w:pP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权限需求</w:t>
      </w:r>
    </w:p>
    <w:tbl>
      <w:tblPr>
        <w:tblStyle w:val="34"/>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843"/>
        <w:gridCol w:w="1701"/>
        <w:gridCol w:w="1984"/>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84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模块</w:t>
            </w:r>
          </w:p>
        </w:tc>
        <w:tc>
          <w:tcPr>
            <w:tcW w:w="1701"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菜单权限</w:t>
            </w:r>
          </w:p>
        </w:tc>
        <w:tc>
          <w:tcPr>
            <w:tcW w:w="1984"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按钮权限</w:t>
            </w:r>
          </w:p>
        </w:tc>
        <w:tc>
          <w:tcPr>
            <w:tcW w:w="269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数据权限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1843"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合规履职标准维护</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1843"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合规履职评价</w:t>
            </w:r>
          </w:p>
        </w:tc>
        <w:tc>
          <w:tcPr>
            <w:tcW w:w="1701"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按角色授权</w:t>
            </w:r>
          </w:p>
        </w:tc>
        <w:tc>
          <w:tcPr>
            <w:tcW w:w="1984"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按角色授权</w:t>
            </w:r>
          </w:p>
        </w:tc>
        <w:tc>
          <w:tcPr>
            <w:tcW w:w="2693"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843"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合规履职评价查看</w:t>
            </w:r>
          </w:p>
        </w:tc>
        <w:tc>
          <w:tcPr>
            <w:tcW w:w="1701" w:type="dxa"/>
            <w:vAlign w:val="top"/>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按角色授权</w:t>
            </w:r>
          </w:p>
        </w:tc>
        <w:tc>
          <w:tcPr>
            <w:tcW w:w="1984" w:type="dxa"/>
            <w:vAlign w:val="top"/>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按角色授权</w:t>
            </w:r>
          </w:p>
        </w:tc>
        <w:tc>
          <w:tcPr>
            <w:tcW w:w="2693" w:type="dxa"/>
            <w:vAlign w:val="top"/>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按角色授权</w:t>
            </w:r>
          </w:p>
        </w:tc>
      </w:tr>
    </w:tbl>
    <w:p>
      <w:pPr>
        <w:pStyle w:val="5"/>
        <w:rPr>
          <w:rFonts w:hint="eastAsia"/>
          <w:lang w:val="en-US" w:eastAsia="zh-CN"/>
        </w:rPr>
      </w:pPr>
    </w:p>
    <w:p>
      <w:pPr>
        <w:pStyle w:val="7"/>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法务知识管理</w:t>
      </w:r>
      <w:bookmarkEnd w:id="66"/>
    </w:p>
    <w:p>
      <w:pPr>
        <w:pStyle w:val="8"/>
        <w:rPr>
          <w:rFonts w:hint="eastAsia" w:cs="Times New Roman"/>
          <w:kern w:val="2"/>
          <w:sz w:val="21"/>
          <w:szCs w:val="21"/>
          <w:lang w:val="en-US" w:eastAsia="zh-CN" w:bidi="ar-SA"/>
        </w:rPr>
      </w:pPr>
      <w:bookmarkStart w:id="67" w:name="_Toc931"/>
      <w:r>
        <w:rPr>
          <w:rFonts w:hint="eastAsia" w:cs="Times New Roman"/>
          <w:kern w:val="2"/>
          <w:sz w:val="21"/>
          <w:szCs w:val="21"/>
          <w:lang w:val="en-US" w:eastAsia="zh-CN" w:bidi="ar-SA"/>
        </w:rPr>
        <w:t>功能描述</w:t>
      </w:r>
    </w:p>
    <w:p>
      <w:pPr>
        <w:keepNext w:val="0"/>
        <w:keepLines w:val="0"/>
        <w:pageBreakBefore w:val="0"/>
        <w:widowControl w:val="0"/>
        <w:numPr>
          <w:ilvl w:val="0"/>
          <w:numId w:val="19"/>
        </w:numPr>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cs="宋体"/>
          <w:b/>
          <w:bCs/>
          <w:sz w:val="24"/>
          <w:szCs w:val="24"/>
          <w:lang w:val="en-US" w:eastAsia="zh-CN"/>
        </w:rPr>
        <w:t>合规、合同库管理</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cs="宋体"/>
          <w:sz w:val="24"/>
          <w:szCs w:val="24"/>
          <w:lang w:val="en-US" w:eastAsia="zh-CN"/>
        </w:rPr>
      </w:pPr>
      <w:r>
        <w:rPr>
          <w:rFonts w:hint="eastAsia" w:ascii="宋体" w:hAnsi="宋体" w:eastAsia="宋体" w:cs="宋体"/>
          <w:sz w:val="24"/>
          <w:szCs w:val="24"/>
        </w:rPr>
        <w:t>提供</w:t>
      </w:r>
      <w:r>
        <w:rPr>
          <w:rFonts w:hint="eastAsia" w:ascii="宋体" w:hAnsi="宋体" w:cs="宋体"/>
          <w:sz w:val="24"/>
          <w:szCs w:val="24"/>
          <w:lang w:val="en-US" w:eastAsia="zh-CN"/>
        </w:rPr>
        <w:t>合同模板维护管理</w:t>
      </w:r>
      <w:r>
        <w:rPr>
          <w:rFonts w:hint="eastAsia" w:ascii="宋体" w:hAnsi="宋体" w:eastAsia="宋体" w:cs="宋体"/>
          <w:sz w:val="24"/>
          <w:szCs w:val="24"/>
        </w:rPr>
        <w:t>功能</w:t>
      </w:r>
      <w:r>
        <w:rPr>
          <w:rFonts w:hint="eastAsia" w:ascii="宋体" w:hAnsi="宋体" w:cs="宋体"/>
          <w:sz w:val="24"/>
          <w:szCs w:val="24"/>
          <w:lang w:eastAsia="zh-CN"/>
        </w:rPr>
        <w:t>，</w:t>
      </w:r>
      <w:r>
        <w:rPr>
          <w:rFonts w:hint="eastAsia" w:ascii="宋体" w:hAnsi="宋体" w:cs="宋体"/>
          <w:sz w:val="24"/>
          <w:szCs w:val="24"/>
          <w:lang w:val="en-US" w:eastAsia="zh-CN"/>
        </w:rPr>
        <w:t>包含合同模板的上传、预览、下载、查询等操作，以及合同模板版本管理</w:t>
      </w:r>
      <w:r>
        <w:rPr>
          <w:rFonts w:hint="eastAsia" w:ascii="宋体" w:hAnsi="宋体" w:eastAsia="宋体" w:cs="宋体"/>
          <w:sz w:val="24"/>
          <w:szCs w:val="24"/>
        </w:rPr>
        <w:t>。</w:t>
      </w:r>
      <w:r>
        <w:rPr>
          <w:rFonts w:hint="eastAsia" w:ascii="宋体" w:hAnsi="宋体" w:cs="宋体"/>
          <w:sz w:val="24"/>
          <w:szCs w:val="24"/>
          <w:lang w:val="en-US" w:eastAsia="zh-CN"/>
        </w:rPr>
        <w:t>由审计法务部法治合规岗按照不同类型上传合同模板，业务部门的人员可预览、下载合同模板。</w:t>
      </w:r>
    </w:p>
    <w:p>
      <w:pPr>
        <w:pStyle w:val="8"/>
        <w:rPr>
          <w:rFonts w:hint="eastAsia" w:cs="Times New Roman"/>
          <w:kern w:val="2"/>
          <w:sz w:val="21"/>
          <w:szCs w:val="21"/>
          <w:lang w:val="en-US" w:eastAsia="zh-CN" w:bidi="ar-SA"/>
        </w:rPr>
      </w:pPr>
      <w:r>
        <w:rPr>
          <w:rFonts w:hint="eastAsia" w:cs="Times New Roman"/>
          <w:kern w:val="2"/>
          <w:sz w:val="21"/>
          <w:szCs w:val="21"/>
          <w:lang w:val="en-US" w:eastAsia="zh-CN" w:bidi="ar-SA"/>
        </w:rPr>
        <w:t>数据需求</w:t>
      </w:r>
    </w:p>
    <w:p>
      <w:pPr>
        <w:pStyle w:val="5"/>
        <w:rPr>
          <w:rFonts w:hint="default"/>
          <w:b/>
          <w:bCs/>
          <w:sz w:val="24"/>
          <w:szCs w:val="24"/>
          <w:lang w:val="en-US" w:eastAsia="zh-CN"/>
        </w:rPr>
      </w:pPr>
      <w:r>
        <w:rPr>
          <w:rFonts w:hint="eastAsia" w:cs="Times New Roman"/>
          <w:b/>
          <w:bCs/>
          <w:kern w:val="2"/>
          <w:sz w:val="24"/>
          <w:szCs w:val="24"/>
          <w:lang w:val="en-US" w:eastAsia="zh-CN" w:bidi="ar-SA"/>
        </w:rPr>
        <w:t>1、合规、合同库数据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合规、合同库数据表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文号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根据编码规则自动生成、唯一性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签发人</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显示专报签发人信息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企业基本情况</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显示基本情况信息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检查的总体情况及评价</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显示年度集中监督检查的总体情况及评价信息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存在的主要问题及建议</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显示存在的主要问题及建议信息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董事会、经理层履职评价及奖惩任命建议</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显示履职评价及奖惩任命建议信息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签发日期</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显示签发日期信息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联系人</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eastAsia="宋体" w:cs="仿宋"/>
                <w:color w:val="000000"/>
                <w:sz w:val="21"/>
                <w:szCs w:val="21"/>
                <w:lang w:val="en-US" w:eastAsia="zh-CN"/>
              </w:rPr>
            </w:pPr>
            <w:r>
              <w:rPr>
                <w:rFonts w:hint="eastAsia" w:ascii="仿宋" w:hAnsi="仿宋" w:cs="仿宋"/>
                <w:color w:val="000000"/>
                <w:sz w:val="21"/>
                <w:szCs w:val="21"/>
                <w:lang w:val="en-US" w:eastAsia="zh-CN"/>
              </w:rPr>
              <w:t>附件</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显示附件信息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备注</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显示其他备注信息</w:t>
            </w:r>
          </w:p>
        </w:tc>
      </w:tr>
    </w:tbl>
    <w:p>
      <w:pPr>
        <w:pStyle w:val="5"/>
        <w:rPr>
          <w:rFonts w:hint="eastAsia"/>
          <w:lang w:val="en-US" w:eastAsia="zh-CN"/>
        </w:rPr>
      </w:pPr>
    </w:p>
    <w:p>
      <w:pPr>
        <w:pStyle w:val="8"/>
        <w:rPr>
          <w:rFonts w:hint="eastAsia" w:cs="Times New Roman"/>
          <w:kern w:val="2"/>
          <w:sz w:val="21"/>
          <w:szCs w:val="21"/>
          <w:lang w:val="en-US" w:eastAsia="zh-CN" w:bidi="ar-SA"/>
        </w:rPr>
      </w:pPr>
      <w:r>
        <w:rPr>
          <w:rFonts w:hint="eastAsia" w:cs="Times New Roman"/>
          <w:kern w:val="2"/>
          <w:sz w:val="21"/>
          <w:szCs w:val="21"/>
          <w:lang w:val="en-US" w:eastAsia="zh-CN" w:bidi="ar-SA"/>
        </w:rPr>
        <w:t>权限需求</w:t>
      </w:r>
    </w:p>
    <w:tbl>
      <w:tblPr>
        <w:tblStyle w:val="34"/>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843"/>
        <w:gridCol w:w="1701"/>
        <w:gridCol w:w="1984"/>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84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模块</w:t>
            </w:r>
          </w:p>
        </w:tc>
        <w:tc>
          <w:tcPr>
            <w:tcW w:w="1701"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菜单权限</w:t>
            </w:r>
          </w:p>
        </w:tc>
        <w:tc>
          <w:tcPr>
            <w:tcW w:w="1984"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按钮权限</w:t>
            </w:r>
          </w:p>
        </w:tc>
        <w:tc>
          <w:tcPr>
            <w:tcW w:w="2693" w:type="dxa"/>
            <w:shd w:val="clear" w:color="auto" w:fill="D9D9D9"/>
          </w:tcPr>
          <w:p>
            <w:pPr>
              <w:spacing w:line="360" w:lineRule="auto"/>
              <w:rPr>
                <w:rFonts w:hint="eastAsia" w:ascii="宋体" w:hAnsi="宋体" w:eastAsia="宋体" w:cs="宋体"/>
                <w:b/>
                <w:bCs/>
                <w:sz w:val="21"/>
                <w:szCs w:val="21"/>
              </w:rPr>
            </w:pPr>
            <w:r>
              <w:rPr>
                <w:rFonts w:hint="eastAsia" w:ascii="宋体" w:hAnsi="宋体" w:eastAsia="宋体" w:cs="宋体"/>
                <w:b/>
                <w:bCs/>
                <w:sz w:val="21"/>
                <w:szCs w:val="21"/>
              </w:rPr>
              <w:t>数据权限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1</w:t>
            </w:r>
          </w:p>
        </w:tc>
        <w:tc>
          <w:tcPr>
            <w:tcW w:w="1843"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专报新增</w:t>
            </w:r>
          </w:p>
        </w:tc>
        <w:tc>
          <w:tcPr>
            <w:tcW w:w="1701"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1984"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c>
          <w:tcPr>
            <w:tcW w:w="2693" w:type="dxa"/>
          </w:tcPr>
          <w:p>
            <w:pPr>
              <w:spacing w:line="360" w:lineRule="auto"/>
              <w:rPr>
                <w:rFonts w:hint="eastAsia" w:ascii="宋体" w:hAnsi="宋体" w:eastAsia="宋体" w:cs="宋体"/>
                <w:sz w:val="21"/>
                <w:szCs w:val="21"/>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1843"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专报编辑</w:t>
            </w:r>
          </w:p>
        </w:tc>
        <w:tc>
          <w:tcPr>
            <w:tcW w:w="1701"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按角色授权</w:t>
            </w:r>
          </w:p>
        </w:tc>
        <w:tc>
          <w:tcPr>
            <w:tcW w:w="1984"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按角色授权</w:t>
            </w:r>
          </w:p>
        </w:tc>
        <w:tc>
          <w:tcPr>
            <w:tcW w:w="2693"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843"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专报删除</w:t>
            </w:r>
          </w:p>
        </w:tc>
        <w:tc>
          <w:tcPr>
            <w:tcW w:w="1701" w:type="dxa"/>
            <w:vAlign w:val="top"/>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按角色授权</w:t>
            </w:r>
          </w:p>
        </w:tc>
        <w:tc>
          <w:tcPr>
            <w:tcW w:w="1984" w:type="dxa"/>
            <w:vAlign w:val="top"/>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按角色授权</w:t>
            </w:r>
          </w:p>
        </w:tc>
        <w:tc>
          <w:tcPr>
            <w:tcW w:w="2693" w:type="dxa"/>
            <w:vAlign w:val="top"/>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1843" w:type="dxa"/>
          </w:tcPr>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专报查询</w:t>
            </w:r>
          </w:p>
        </w:tc>
        <w:tc>
          <w:tcPr>
            <w:tcW w:w="1701" w:type="dxa"/>
            <w:vAlign w:val="top"/>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按角色授权</w:t>
            </w:r>
          </w:p>
        </w:tc>
        <w:tc>
          <w:tcPr>
            <w:tcW w:w="1984" w:type="dxa"/>
            <w:vAlign w:val="top"/>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按角色授权</w:t>
            </w:r>
          </w:p>
        </w:tc>
        <w:tc>
          <w:tcPr>
            <w:tcW w:w="2693" w:type="dxa"/>
            <w:vAlign w:val="top"/>
          </w:tcPr>
          <w:p>
            <w:pPr>
              <w:spacing w:line="360" w:lineRule="auto"/>
              <w:rPr>
                <w:rFonts w:hint="eastAsia" w:ascii="宋体" w:hAnsi="宋体" w:eastAsia="宋体" w:cs="宋体"/>
                <w:kern w:val="2"/>
                <w:sz w:val="21"/>
                <w:szCs w:val="21"/>
                <w:lang w:val="en-US" w:eastAsia="zh-CN" w:bidi="ar-SA"/>
              </w:rPr>
            </w:pPr>
            <w:r>
              <w:rPr>
                <w:rFonts w:hint="eastAsia" w:ascii="宋体" w:hAnsi="宋体" w:eastAsia="宋体" w:cs="宋体"/>
                <w:sz w:val="21"/>
                <w:szCs w:val="21"/>
              </w:rPr>
              <w:t>按角色授权</w:t>
            </w:r>
          </w:p>
        </w:tc>
      </w:tr>
    </w:tbl>
    <w:p>
      <w:pPr>
        <w:pStyle w:val="5"/>
        <w:rPr>
          <w:rFonts w:hint="eastAsia"/>
          <w:lang w:val="en-US" w:eastAsia="zh-CN"/>
        </w:rPr>
      </w:pPr>
    </w:p>
    <w:p>
      <w:pPr>
        <w:pStyle w:val="6"/>
        <w:rPr>
          <w:rFonts w:hint="eastAsia" w:cs="Times New Roman" w:asciiTheme="minorEastAsia" w:hAnsiTheme="minorEastAsia" w:eastAsiaTheme="minorEastAsia"/>
          <w:b/>
          <w:bCs/>
          <w:kern w:val="2"/>
          <w:sz w:val="24"/>
          <w:szCs w:val="24"/>
          <w:lang w:val="en-US" w:eastAsia="zh-CN" w:bidi="ar-SA"/>
        </w:rPr>
      </w:pPr>
      <w:r>
        <w:rPr>
          <w:rFonts w:hint="eastAsia" w:cs="Times New Roman" w:asciiTheme="minorEastAsia" w:hAnsiTheme="minorEastAsia" w:eastAsiaTheme="minorEastAsia"/>
          <w:b/>
          <w:bCs/>
          <w:kern w:val="2"/>
          <w:sz w:val="24"/>
          <w:szCs w:val="24"/>
          <w:lang w:val="en-US" w:eastAsia="zh-CN" w:bidi="ar-SA"/>
        </w:rPr>
        <w:t>监事会监督管理</w:t>
      </w:r>
      <w:bookmarkEnd w:id="67"/>
    </w:p>
    <w:p>
      <w:pPr>
        <w:pStyle w:val="7"/>
      </w:pPr>
      <w:r>
        <w:rPr>
          <w:rFonts w:hint="eastAsia"/>
          <w:lang w:val="en-US" w:eastAsia="zh-CN"/>
        </w:rPr>
        <w:t>监督检查管理</w:t>
      </w:r>
    </w:p>
    <w:p>
      <w:pPr>
        <w:pStyle w:val="8"/>
      </w:pPr>
      <w:r>
        <w:rPr>
          <w:rFonts w:hint="eastAsia"/>
          <w:lang w:val="en-US" w:eastAsia="zh-CN"/>
        </w:rPr>
        <w:t>功能描述</w:t>
      </w:r>
    </w:p>
    <w:p>
      <w:pPr>
        <w:pStyle w:val="5"/>
        <w:numPr>
          <w:ilvl w:val="0"/>
          <w:numId w:val="20"/>
        </w:numPr>
        <w:rPr>
          <w:rFonts w:hint="eastAsia"/>
          <w:b/>
          <w:bCs/>
          <w:sz w:val="24"/>
          <w:szCs w:val="24"/>
          <w:lang w:val="en-US" w:eastAsia="zh-CN"/>
        </w:rPr>
      </w:pPr>
      <w:r>
        <w:rPr>
          <w:rFonts w:hint="eastAsia"/>
          <w:b/>
          <w:bCs/>
          <w:sz w:val="24"/>
          <w:szCs w:val="24"/>
          <w:lang w:val="en-US" w:eastAsia="zh-CN"/>
        </w:rPr>
        <w:t>监督检查通知管理</w:t>
      </w:r>
    </w:p>
    <w:p>
      <w:pPr>
        <w:pStyle w:val="5"/>
        <w:numPr>
          <w:ilvl w:val="0"/>
          <w:numId w:val="0"/>
        </w:numPr>
        <w:ind w:firstLine="420" w:firstLineChars="0"/>
        <w:rPr>
          <w:rFonts w:hint="eastAsia"/>
          <w:b w:val="0"/>
          <w:bCs w:val="0"/>
          <w:sz w:val="24"/>
          <w:szCs w:val="24"/>
          <w:lang w:val="en-US" w:eastAsia="zh-CN"/>
        </w:rPr>
      </w:pPr>
      <w:r>
        <w:rPr>
          <w:rFonts w:hint="eastAsia"/>
          <w:b w:val="0"/>
          <w:bCs w:val="0"/>
          <w:sz w:val="24"/>
          <w:szCs w:val="24"/>
          <w:lang w:val="en-US" w:eastAsia="zh-CN"/>
        </w:rPr>
        <w:t>支持监督检查通知创建、下发功能，由监事办管理岗负责监督检查通知的创建和下发。</w:t>
      </w:r>
    </w:p>
    <w:p>
      <w:pPr>
        <w:pStyle w:val="5"/>
        <w:numPr>
          <w:ilvl w:val="0"/>
          <w:numId w:val="20"/>
        </w:numPr>
        <w:rPr>
          <w:rFonts w:hint="eastAsia"/>
          <w:b/>
          <w:bCs/>
          <w:sz w:val="24"/>
          <w:szCs w:val="24"/>
          <w:lang w:val="en-US" w:eastAsia="zh-CN"/>
        </w:rPr>
      </w:pPr>
      <w:r>
        <w:rPr>
          <w:rFonts w:hint="eastAsia"/>
          <w:b/>
          <w:bCs/>
          <w:sz w:val="24"/>
          <w:szCs w:val="24"/>
          <w:lang w:val="en-US" w:eastAsia="zh-CN"/>
        </w:rPr>
        <w:t>检查工作方案管理</w:t>
      </w:r>
    </w:p>
    <w:p>
      <w:pPr>
        <w:pStyle w:val="5"/>
        <w:numPr>
          <w:ilvl w:val="0"/>
          <w:numId w:val="0"/>
        </w:numPr>
        <w:ind w:firstLine="420" w:firstLineChars="0"/>
        <w:rPr>
          <w:rFonts w:hint="default"/>
          <w:b w:val="0"/>
          <w:bCs w:val="0"/>
          <w:sz w:val="24"/>
          <w:szCs w:val="24"/>
          <w:lang w:val="en-US" w:eastAsia="zh-CN"/>
        </w:rPr>
      </w:pPr>
      <w:r>
        <w:rPr>
          <w:rFonts w:hint="eastAsia"/>
          <w:b w:val="0"/>
          <w:bCs w:val="0"/>
          <w:sz w:val="24"/>
          <w:szCs w:val="24"/>
          <w:lang w:val="en-US" w:eastAsia="zh-CN"/>
        </w:rPr>
        <w:t>支持监督检查工作方案的创建功能，由监事办管理岗负责监督检查工作方案的创建。</w:t>
      </w:r>
    </w:p>
    <w:p>
      <w:pPr>
        <w:pStyle w:val="5"/>
        <w:numPr>
          <w:ilvl w:val="0"/>
          <w:numId w:val="20"/>
        </w:numPr>
        <w:rPr>
          <w:rFonts w:hint="eastAsia"/>
          <w:b/>
          <w:bCs/>
          <w:sz w:val="24"/>
          <w:szCs w:val="24"/>
          <w:lang w:val="en-US" w:eastAsia="zh-CN"/>
        </w:rPr>
      </w:pPr>
      <w:r>
        <w:rPr>
          <w:rFonts w:hint="eastAsia"/>
          <w:b/>
          <w:bCs/>
          <w:sz w:val="24"/>
          <w:szCs w:val="24"/>
          <w:lang w:val="en-US" w:eastAsia="zh-CN"/>
        </w:rPr>
        <w:t>资料清单管理</w:t>
      </w:r>
    </w:p>
    <w:p>
      <w:pPr>
        <w:pStyle w:val="5"/>
        <w:numPr>
          <w:ilvl w:val="0"/>
          <w:numId w:val="0"/>
        </w:numPr>
        <w:ind w:firstLine="420" w:firstLineChars="0"/>
        <w:rPr>
          <w:rFonts w:hint="eastAsia"/>
          <w:b w:val="0"/>
          <w:bCs w:val="0"/>
          <w:sz w:val="24"/>
          <w:szCs w:val="24"/>
          <w:lang w:val="en-US" w:eastAsia="zh-CN"/>
        </w:rPr>
      </w:pPr>
      <w:r>
        <w:rPr>
          <w:rFonts w:hint="eastAsia"/>
          <w:b w:val="0"/>
          <w:bCs w:val="0"/>
          <w:sz w:val="24"/>
          <w:szCs w:val="24"/>
          <w:lang w:val="en-US" w:eastAsia="zh-CN"/>
        </w:rPr>
        <w:t>支持资料清单下发功能，由监事办管理岗负责下发需收集的资料清单给各部门。</w:t>
      </w:r>
    </w:p>
    <w:p>
      <w:pPr>
        <w:pStyle w:val="5"/>
        <w:numPr>
          <w:ilvl w:val="0"/>
          <w:numId w:val="0"/>
        </w:numPr>
        <w:ind w:firstLine="420" w:firstLineChars="0"/>
        <w:rPr>
          <w:rFonts w:hint="eastAsia"/>
          <w:b w:val="0"/>
          <w:bCs w:val="0"/>
          <w:sz w:val="24"/>
          <w:szCs w:val="24"/>
          <w:lang w:val="en-US" w:eastAsia="zh-CN"/>
        </w:rPr>
      </w:pPr>
      <w:r>
        <w:rPr>
          <w:rFonts w:hint="eastAsia"/>
          <w:b w:val="0"/>
          <w:bCs w:val="0"/>
          <w:sz w:val="24"/>
          <w:szCs w:val="24"/>
          <w:lang w:val="en-US" w:eastAsia="zh-CN"/>
        </w:rPr>
        <w:t>支持资料上传功能，各部门按照资料清单上传对应的资料附件。</w:t>
      </w:r>
    </w:p>
    <w:p>
      <w:pPr>
        <w:pStyle w:val="5"/>
        <w:numPr>
          <w:ilvl w:val="0"/>
          <w:numId w:val="0"/>
        </w:numPr>
        <w:ind w:firstLine="420" w:firstLineChars="0"/>
        <w:rPr>
          <w:rFonts w:hint="default"/>
          <w:b w:val="0"/>
          <w:bCs w:val="0"/>
          <w:sz w:val="24"/>
          <w:szCs w:val="24"/>
          <w:lang w:val="en-US" w:eastAsia="zh-CN"/>
        </w:rPr>
      </w:pPr>
      <w:r>
        <w:rPr>
          <w:rFonts w:hint="eastAsia"/>
          <w:b w:val="0"/>
          <w:bCs w:val="0"/>
          <w:sz w:val="24"/>
          <w:szCs w:val="24"/>
          <w:lang w:val="en-US" w:eastAsia="zh-CN"/>
        </w:rPr>
        <w:t>支持资料的在线查看和下载。</w:t>
      </w:r>
    </w:p>
    <w:p>
      <w:pPr>
        <w:pStyle w:val="5"/>
        <w:numPr>
          <w:ilvl w:val="0"/>
          <w:numId w:val="20"/>
        </w:numPr>
        <w:rPr>
          <w:rFonts w:hint="eastAsia"/>
          <w:b/>
          <w:bCs/>
          <w:sz w:val="24"/>
          <w:szCs w:val="24"/>
          <w:lang w:val="en-US" w:eastAsia="zh-CN"/>
        </w:rPr>
      </w:pPr>
      <w:r>
        <w:rPr>
          <w:rFonts w:hint="eastAsia"/>
          <w:b/>
          <w:bCs/>
          <w:sz w:val="24"/>
          <w:szCs w:val="24"/>
          <w:lang w:val="en-US" w:eastAsia="zh-CN"/>
        </w:rPr>
        <w:t>检查报告管理</w:t>
      </w:r>
    </w:p>
    <w:p>
      <w:pPr>
        <w:pStyle w:val="5"/>
        <w:numPr>
          <w:ilvl w:val="0"/>
          <w:numId w:val="0"/>
        </w:numPr>
        <w:ind w:firstLine="420" w:firstLineChars="0"/>
        <w:rPr>
          <w:rFonts w:hint="default"/>
          <w:b w:val="0"/>
          <w:bCs w:val="0"/>
          <w:sz w:val="24"/>
          <w:szCs w:val="24"/>
          <w:lang w:val="en-US" w:eastAsia="zh-CN"/>
        </w:rPr>
      </w:pPr>
      <w:r>
        <w:rPr>
          <w:rFonts w:hint="eastAsia"/>
          <w:b w:val="0"/>
          <w:bCs w:val="0"/>
          <w:sz w:val="24"/>
          <w:szCs w:val="24"/>
          <w:lang w:val="en-US" w:eastAsia="zh-CN"/>
        </w:rPr>
        <w:t>支持监督检查报告的管理功能，支持上传集中监督、专项监督检查报告附件。</w:t>
      </w:r>
    </w:p>
    <w:p>
      <w:pPr>
        <w:pStyle w:val="5"/>
        <w:numPr>
          <w:ilvl w:val="0"/>
          <w:numId w:val="20"/>
        </w:numPr>
        <w:rPr>
          <w:rFonts w:hint="eastAsia"/>
          <w:b/>
          <w:bCs/>
          <w:sz w:val="24"/>
          <w:szCs w:val="24"/>
          <w:lang w:val="en-US" w:eastAsia="zh-CN"/>
        </w:rPr>
      </w:pPr>
      <w:r>
        <w:rPr>
          <w:rFonts w:hint="eastAsia"/>
          <w:b/>
          <w:bCs/>
          <w:sz w:val="24"/>
          <w:szCs w:val="24"/>
          <w:lang w:val="en-US" w:eastAsia="zh-CN"/>
        </w:rPr>
        <w:t>问题跟踪管理</w:t>
      </w:r>
    </w:p>
    <w:p>
      <w:pPr>
        <w:pStyle w:val="5"/>
        <w:numPr>
          <w:ilvl w:val="0"/>
          <w:numId w:val="0"/>
        </w:numPr>
        <w:ind w:firstLine="420" w:firstLineChars="0"/>
        <w:rPr>
          <w:rFonts w:hint="default"/>
          <w:b w:val="0"/>
          <w:bCs w:val="0"/>
          <w:sz w:val="24"/>
          <w:szCs w:val="24"/>
          <w:lang w:val="en-US" w:eastAsia="zh-CN"/>
        </w:rPr>
      </w:pPr>
      <w:r>
        <w:rPr>
          <w:rFonts w:hint="eastAsia"/>
          <w:b w:val="0"/>
          <w:bCs w:val="0"/>
          <w:sz w:val="24"/>
          <w:szCs w:val="24"/>
          <w:lang w:val="en-US" w:eastAsia="zh-CN"/>
        </w:rPr>
        <w:t>支持问题台账管理，对检查报告中需整改的问题进行管理，支持对每个问题的状态进行跟踪，由监事会办公室负责，根据董事会复函对问题整改完成情况，更新问题状态。</w:t>
      </w: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数据需求</w:t>
      </w:r>
    </w:p>
    <w:p>
      <w:pPr>
        <w:pStyle w:val="5"/>
        <w:rPr>
          <w:rFonts w:hint="default"/>
          <w:b/>
          <w:bCs/>
          <w:sz w:val="24"/>
          <w:szCs w:val="24"/>
          <w:lang w:val="en-US" w:eastAsia="zh-CN"/>
        </w:rPr>
      </w:pPr>
      <w:r>
        <w:rPr>
          <w:rFonts w:hint="eastAsia" w:cs="Times New Roman"/>
          <w:b/>
          <w:bCs/>
          <w:kern w:val="2"/>
          <w:sz w:val="24"/>
          <w:szCs w:val="24"/>
          <w:lang w:val="en-US" w:eastAsia="zh-CN" w:bidi="ar-SA"/>
        </w:rPr>
        <w:t>1、集中监督检查报告数据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集中监督检查报告数据表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文号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根据编码规则自动生成、唯一性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签发人</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显示专报签发人信息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企业基本情况</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显示基本情况信息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检查的总体情况及评价</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显示年度集中监督检查的总体情况及评价信息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存在的主要问题及建议</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显示存在的主要问题及建议信息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董事会、经理层履职评价及奖惩任命建议</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显示履职评价及奖惩任命建议信息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签发日期</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显示签发日期信息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联系人</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eastAsia="宋体" w:cs="仿宋"/>
                <w:color w:val="000000"/>
                <w:sz w:val="21"/>
                <w:szCs w:val="21"/>
                <w:lang w:val="en-US" w:eastAsia="zh-CN"/>
              </w:rPr>
            </w:pPr>
            <w:r>
              <w:rPr>
                <w:rFonts w:hint="eastAsia" w:ascii="仿宋" w:hAnsi="仿宋" w:cs="仿宋"/>
                <w:color w:val="000000"/>
                <w:sz w:val="21"/>
                <w:szCs w:val="21"/>
                <w:lang w:val="en-US" w:eastAsia="zh-CN"/>
              </w:rPr>
              <w:t>附件</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显示附件信息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备注</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显示其他备注信息</w:t>
            </w:r>
          </w:p>
        </w:tc>
      </w:tr>
    </w:tbl>
    <w:p>
      <w:pPr>
        <w:pStyle w:val="5"/>
        <w:rPr>
          <w:rFonts w:hint="eastAsia"/>
          <w:lang w:val="en-US" w:eastAsia="zh-CN"/>
        </w:rPr>
      </w:pPr>
    </w:p>
    <w:p>
      <w:pPr>
        <w:pStyle w:val="5"/>
        <w:rPr>
          <w:rFonts w:hint="default"/>
          <w:b/>
          <w:bCs/>
          <w:sz w:val="24"/>
          <w:szCs w:val="24"/>
          <w:lang w:val="en-US" w:eastAsia="zh-CN"/>
        </w:rPr>
      </w:pPr>
      <w:r>
        <w:rPr>
          <w:rFonts w:hint="eastAsia" w:cs="Times New Roman"/>
          <w:b/>
          <w:bCs/>
          <w:kern w:val="2"/>
          <w:sz w:val="24"/>
          <w:szCs w:val="24"/>
          <w:lang w:val="en-US" w:eastAsia="zh-CN" w:bidi="ar-SA"/>
        </w:rPr>
        <w:t>2、检查工作方案数据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检查工作方案数据表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年度</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显示年度信息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检查名称</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显示检查名称信息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检查目的</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显示检查目的信息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检查范围</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显示检查范围信息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检查内容和重点</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显示检查内容和重点信息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检查人员安排</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显示检查人员安排信息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检查时间计划</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显示检查时间计划信息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发布日期</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显示发布日期信息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eastAsia="宋体" w:cs="仿宋"/>
                <w:color w:val="000000"/>
                <w:sz w:val="21"/>
                <w:szCs w:val="21"/>
                <w:lang w:val="en-US" w:eastAsia="zh-CN"/>
              </w:rPr>
            </w:pPr>
            <w:r>
              <w:rPr>
                <w:rFonts w:hint="eastAsia" w:ascii="仿宋" w:hAnsi="仿宋" w:cs="仿宋"/>
                <w:color w:val="000000"/>
                <w:sz w:val="21"/>
                <w:szCs w:val="21"/>
                <w:lang w:val="en-US" w:eastAsia="zh-CN"/>
              </w:rPr>
              <w:t>附件</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显示附件信息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备注</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显示其他备注信息</w:t>
            </w:r>
          </w:p>
        </w:tc>
      </w:tr>
    </w:tbl>
    <w:p>
      <w:pPr>
        <w:pStyle w:val="5"/>
        <w:rPr>
          <w:rFonts w:hint="eastAsia"/>
          <w:lang w:val="en-US" w:eastAsia="zh-CN"/>
        </w:rPr>
      </w:pPr>
    </w:p>
    <w:p>
      <w:pPr>
        <w:pStyle w:val="5"/>
        <w:rPr>
          <w:rFonts w:hint="default"/>
          <w:b/>
          <w:bCs/>
          <w:sz w:val="24"/>
          <w:szCs w:val="24"/>
          <w:lang w:val="en-US" w:eastAsia="zh-CN"/>
        </w:rPr>
      </w:pPr>
      <w:r>
        <w:rPr>
          <w:rFonts w:hint="eastAsia" w:cs="Times New Roman"/>
          <w:b/>
          <w:bCs/>
          <w:kern w:val="2"/>
          <w:sz w:val="24"/>
          <w:szCs w:val="24"/>
          <w:lang w:val="en-US" w:eastAsia="zh-CN" w:bidi="ar-SA"/>
        </w:rPr>
        <w:t>3、专项监督检查报告数据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专项监督检查报告数据表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文号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根据编码规则自动生成、唯一性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签发人</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显示专报签发人信息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检查工作基本情况</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显示专项检查工作基本情况信息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检查开展情况情况</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显示专项监督检查开展情况信息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存在的问题及整改思路</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显示存在的主要问题及整改思路信息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签发日期</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显示签发日期信息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联系人</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eastAsia="宋体" w:cs="仿宋"/>
                <w:color w:val="000000"/>
                <w:sz w:val="21"/>
                <w:szCs w:val="21"/>
                <w:lang w:val="en-US" w:eastAsia="zh-CN"/>
              </w:rPr>
            </w:pPr>
            <w:r>
              <w:rPr>
                <w:rFonts w:hint="eastAsia" w:ascii="仿宋" w:hAnsi="仿宋" w:cs="仿宋"/>
                <w:color w:val="000000"/>
                <w:sz w:val="21"/>
                <w:szCs w:val="21"/>
                <w:lang w:val="en-US" w:eastAsia="zh-CN"/>
              </w:rPr>
              <w:t>附件</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显示附件信息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备注</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显示其他备注信息</w:t>
            </w:r>
          </w:p>
        </w:tc>
      </w:tr>
    </w:tbl>
    <w:p>
      <w:pPr>
        <w:pStyle w:val="5"/>
        <w:rPr>
          <w:rFonts w:hint="eastAsia"/>
          <w:lang w:val="en-US" w:eastAsia="zh-CN"/>
        </w:rPr>
      </w:pPr>
    </w:p>
    <w:p>
      <w:pPr>
        <w:pStyle w:val="5"/>
        <w:rPr>
          <w:rFonts w:hint="default"/>
          <w:b/>
          <w:bCs/>
          <w:sz w:val="24"/>
          <w:szCs w:val="24"/>
          <w:lang w:val="en-US" w:eastAsia="zh-CN"/>
        </w:rPr>
      </w:pPr>
      <w:r>
        <w:rPr>
          <w:rFonts w:hint="eastAsia" w:cs="Times New Roman"/>
          <w:b/>
          <w:bCs/>
          <w:kern w:val="2"/>
          <w:sz w:val="24"/>
          <w:szCs w:val="24"/>
          <w:lang w:val="en-US" w:eastAsia="zh-CN" w:bidi="ar-SA"/>
        </w:rPr>
        <w:t>4、检查工作底稿数据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工作底稿数据表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编制日期</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显示编制日期信息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检查对象</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显示检查对象信息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编制人</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显示编制人信息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索引顺序和</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显示索引顺序号信息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检查事项</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显示检查事项信息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检查过程记录</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显示检查过程记录信息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编制人意见</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显示编制人意见信息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复核人意见</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显示复核人意见信息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其他说明</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显示其他说明信息</w:t>
            </w:r>
          </w:p>
        </w:tc>
      </w:tr>
    </w:tbl>
    <w:p>
      <w:pPr>
        <w:pStyle w:val="5"/>
        <w:rPr>
          <w:rFonts w:hint="eastAsia"/>
          <w:lang w:val="en-US" w:eastAsia="zh-CN"/>
        </w:rPr>
      </w:pP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权限需求</w:t>
      </w:r>
    </w:p>
    <w:tbl>
      <w:tblPr>
        <w:tblStyle w:val="34"/>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843"/>
        <w:gridCol w:w="1701"/>
        <w:gridCol w:w="1984"/>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序号</w:t>
            </w:r>
          </w:p>
        </w:tc>
        <w:tc>
          <w:tcPr>
            <w:tcW w:w="1843" w:type="dxa"/>
            <w:shd w:val="clear" w:color="auto" w:fill="D9D9D9"/>
          </w:tcPr>
          <w:p>
            <w:pPr>
              <w:spacing w:line="360" w:lineRule="auto"/>
              <w:rPr>
                <w:rFonts w:ascii="宋体" w:hAnsi="宋体" w:eastAsia="Times New Roman" w:cs="宋体"/>
                <w:b/>
                <w:bCs/>
                <w:sz w:val="21"/>
                <w:szCs w:val="21"/>
              </w:rPr>
            </w:pPr>
            <w:r>
              <w:rPr>
                <w:rFonts w:hint="eastAsia" w:ascii="宋体" w:hAnsi="宋体" w:eastAsia="宋体" w:cs="宋体"/>
                <w:b/>
                <w:bCs/>
                <w:sz w:val="21"/>
                <w:szCs w:val="21"/>
              </w:rPr>
              <w:t>模块</w:t>
            </w:r>
          </w:p>
        </w:tc>
        <w:tc>
          <w:tcPr>
            <w:tcW w:w="1701" w:type="dxa"/>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菜单权限</w:t>
            </w:r>
          </w:p>
        </w:tc>
        <w:tc>
          <w:tcPr>
            <w:tcW w:w="1984" w:type="dxa"/>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按钮权限</w:t>
            </w:r>
          </w:p>
        </w:tc>
        <w:tc>
          <w:tcPr>
            <w:tcW w:w="2693" w:type="dxa"/>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数据权限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ascii="Times New Roman" w:hAnsi="Times New Roman"/>
                <w:sz w:val="21"/>
                <w:szCs w:val="21"/>
              </w:rPr>
            </w:pPr>
            <w:r>
              <w:rPr>
                <w:rFonts w:hint="eastAsia" w:ascii="Times New Roman" w:hAnsi="Times New Roman"/>
                <w:sz w:val="21"/>
                <w:szCs w:val="21"/>
              </w:rPr>
              <w:t>1</w:t>
            </w:r>
          </w:p>
        </w:tc>
        <w:tc>
          <w:tcPr>
            <w:tcW w:w="1843"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集中监督检查</w:t>
            </w:r>
          </w:p>
        </w:tc>
        <w:tc>
          <w:tcPr>
            <w:tcW w:w="1701" w:type="dxa"/>
          </w:tcPr>
          <w:p>
            <w:pPr>
              <w:spacing w:line="360" w:lineRule="auto"/>
              <w:rPr>
                <w:rFonts w:ascii="Times New Roman" w:hAnsi="Times New Roman"/>
                <w:sz w:val="21"/>
                <w:szCs w:val="21"/>
              </w:rPr>
            </w:pPr>
            <w:r>
              <w:rPr>
                <w:rFonts w:hint="eastAsia" w:ascii="Times New Roman" w:hAnsi="Times New Roman"/>
                <w:sz w:val="21"/>
                <w:szCs w:val="21"/>
              </w:rPr>
              <w:t>按角色授权</w:t>
            </w:r>
          </w:p>
        </w:tc>
        <w:tc>
          <w:tcPr>
            <w:tcW w:w="1984" w:type="dxa"/>
          </w:tcPr>
          <w:p>
            <w:pPr>
              <w:spacing w:line="360" w:lineRule="auto"/>
              <w:rPr>
                <w:rFonts w:ascii="Times New Roman" w:hAnsi="Times New Roman"/>
                <w:sz w:val="21"/>
                <w:szCs w:val="21"/>
              </w:rPr>
            </w:pPr>
            <w:r>
              <w:rPr>
                <w:rFonts w:hint="eastAsia" w:ascii="Times New Roman" w:hAnsi="Times New Roman"/>
                <w:sz w:val="21"/>
                <w:szCs w:val="21"/>
              </w:rPr>
              <w:t>按角色授权</w:t>
            </w:r>
          </w:p>
        </w:tc>
        <w:tc>
          <w:tcPr>
            <w:tcW w:w="2693" w:type="dxa"/>
          </w:tcPr>
          <w:p>
            <w:pPr>
              <w:spacing w:line="360" w:lineRule="auto"/>
              <w:rPr>
                <w:rFonts w:ascii="Times New Roman" w:hAnsi="Times New Roman"/>
                <w:sz w:val="21"/>
                <w:szCs w:val="21"/>
              </w:rPr>
            </w:pPr>
            <w:r>
              <w:rPr>
                <w:rFonts w:hint="eastAsia" w:ascii="Times New Roman" w:hAnsi="Times New Roman"/>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2</w:t>
            </w:r>
          </w:p>
        </w:tc>
        <w:tc>
          <w:tcPr>
            <w:tcW w:w="1843"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专项监督检查</w:t>
            </w:r>
          </w:p>
        </w:tc>
        <w:tc>
          <w:tcPr>
            <w:tcW w:w="1701"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按角色授权</w:t>
            </w:r>
          </w:p>
        </w:tc>
        <w:tc>
          <w:tcPr>
            <w:tcW w:w="1984"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按角色授权</w:t>
            </w:r>
          </w:p>
        </w:tc>
        <w:tc>
          <w:tcPr>
            <w:tcW w:w="2693" w:type="dxa"/>
          </w:tcPr>
          <w:p>
            <w:pPr>
              <w:spacing w:line="360" w:lineRule="auto"/>
              <w:rPr>
                <w:rFonts w:hint="eastAsia" w:ascii="Times New Roman" w:hAnsi="Times New Roman" w:eastAsia="宋体"/>
                <w:sz w:val="21"/>
                <w:szCs w:val="21"/>
                <w:lang w:val="en-US" w:eastAsia="zh-CN"/>
              </w:rPr>
            </w:pPr>
            <w:r>
              <w:rPr>
                <w:rFonts w:hint="eastAsia" w:ascii="Times New Roman" w:hAnsi="Times New Roman"/>
                <w:sz w:val="21"/>
                <w:szCs w:val="21"/>
              </w:rPr>
              <w:t>按角色授权</w:t>
            </w:r>
          </w:p>
        </w:tc>
      </w:tr>
    </w:tbl>
    <w:p>
      <w:pPr>
        <w:pStyle w:val="5"/>
        <w:rPr>
          <w:rFonts w:hint="eastAsia"/>
          <w:lang w:val="en-US" w:eastAsia="zh-CN"/>
        </w:rPr>
      </w:pPr>
    </w:p>
    <w:p>
      <w:pPr>
        <w:pStyle w:val="7"/>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专报管理</w:t>
      </w:r>
    </w:p>
    <w:p>
      <w:pPr>
        <w:pStyle w:val="8"/>
      </w:pPr>
      <w:r>
        <w:rPr>
          <w:rFonts w:hint="eastAsia"/>
          <w:lang w:val="en-US" w:eastAsia="zh-CN"/>
        </w:rPr>
        <w:t>功能描述</w:t>
      </w:r>
    </w:p>
    <w:p>
      <w:pPr>
        <w:keepNext w:val="0"/>
        <w:keepLines w:val="0"/>
        <w:pageBreakBefore w:val="0"/>
        <w:widowControl w:val="0"/>
        <w:numPr>
          <w:ilvl w:val="0"/>
          <w:numId w:val="21"/>
        </w:numPr>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cs="宋体"/>
          <w:b/>
          <w:bCs/>
          <w:sz w:val="24"/>
          <w:szCs w:val="24"/>
          <w:lang w:val="en-US" w:eastAsia="zh-CN"/>
        </w:rPr>
        <w:t>专报新增</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宋体" w:hAnsi="宋体" w:eastAsia="宋体" w:cs="宋体"/>
          <w:sz w:val="24"/>
          <w:szCs w:val="24"/>
          <w:lang w:val="en-US"/>
        </w:rPr>
      </w:pPr>
      <w:r>
        <w:rPr>
          <w:rFonts w:hint="eastAsia" w:ascii="宋体" w:hAnsi="宋体" w:eastAsia="宋体" w:cs="宋体"/>
          <w:sz w:val="24"/>
          <w:szCs w:val="24"/>
        </w:rPr>
        <w:t>提供</w:t>
      </w:r>
      <w:r>
        <w:rPr>
          <w:rFonts w:hint="eastAsia" w:ascii="宋体" w:hAnsi="宋体" w:cs="宋体"/>
          <w:sz w:val="24"/>
          <w:szCs w:val="24"/>
          <w:lang w:val="en-US" w:eastAsia="zh-CN"/>
        </w:rPr>
        <w:t>专报新增</w:t>
      </w:r>
      <w:r>
        <w:rPr>
          <w:rFonts w:hint="eastAsia" w:ascii="宋体" w:hAnsi="宋体" w:eastAsia="宋体" w:cs="宋体"/>
          <w:sz w:val="24"/>
          <w:szCs w:val="24"/>
        </w:rPr>
        <w:t>功能</w:t>
      </w:r>
      <w:r>
        <w:rPr>
          <w:rFonts w:hint="eastAsia" w:ascii="宋体" w:hAnsi="宋体" w:cs="宋体"/>
          <w:sz w:val="24"/>
          <w:szCs w:val="24"/>
          <w:lang w:eastAsia="zh-CN"/>
        </w:rPr>
        <w:t>，</w:t>
      </w:r>
      <w:r>
        <w:rPr>
          <w:rFonts w:hint="eastAsia" w:ascii="宋体" w:hAnsi="宋体" w:cs="宋体"/>
          <w:sz w:val="24"/>
          <w:szCs w:val="24"/>
          <w:lang w:val="en-US" w:eastAsia="zh-CN"/>
        </w:rPr>
        <w:t>专报信息包含专报名称、文号、签发人、基本情况、存在问题及建议、下一步工作建议、专报日期、联系人、联系电话等信息。由监事会专报信息填写完成后，点击提交完成专报新增。</w:t>
      </w:r>
    </w:p>
    <w:p>
      <w:pPr>
        <w:keepNext w:val="0"/>
        <w:keepLines w:val="0"/>
        <w:pageBreakBefore w:val="0"/>
        <w:widowControl w:val="0"/>
        <w:numPr>
          <w:ilvl w:val="0"/>
          <w:numId w:val="21"/>
        </w:numPr>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cs="宋体"/>
          <w:b/>
          <w:bCs/>
          <w:sz w:val="24"/>
          <w:szCs w:val="24"/>
          <w:lang w:val="en-US" w:eastAsia="zh-CN"/>
        </w:rPr>
        <w:t>专报编辑</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宋体" w:hAnsi="宋体" w:eastAsia="宋体" w:cs="宋体"/>
          <w:sz w:val="24"/>
          <w:szCs w:val="24"/>
        </w:rPr>
      </w:pPr>
      <w:r>
        <w:rPr>
          <w:rFonts w:hint="eastAsia" w:ascii="宋体" w:hAnsi="宋体" w:eastAsia="宋体" w:cs="宋体"/>
          <w:sz w:val="24"/>
          <w:szCs w:val="24"/>
        </w:rPr>
        <w:t>提供</w:t>
      </w:r>
      <w:r>
        <w:rPr>
          <w:rFonts w:hint="eastAsia" w:ascii="宋体" w:hAnsi="宋体" w:cs="宋体"/>
          <w:sz w:val="24"/>
          <w:szCs w:val="24"/>
          <w:lang w:val="en-US" w:eastAsia="zh-CN"/>
        </w:rPr>
        <w:t>专报信息编辑</w:t>
      </w:r>
      <w:r>
        <w:rPr>
          <w:rFonts w:hint="eastAsia" w:ascii="宋体" w:hAnsi="宋体" w:eastAsia="宋体" w:cs="宋体"/>
          <w:sz w:val="24"/>
          <w:szCs w:val="24"/>
        </w:rPr>
        <w:t>功能</w:t>
      </w:r>
      <w:r>
        <w:rPr>
          <w:rFonts w:hint="eastAsia" w:ascii="宋体" w:hAnsi="宋体" w:cs="宋体"/>
          <w:sz w:val="24"/>
          <w:szCs w:val="24"/>
          <w:lang w:eastAsia="zh-CN"/>
        </w:rPr>
        <w:t>，</w:t>
      </w:r>
      <w:r>
        <w:rPr>
          <w:rFonts w:hint="eastAsia" w:ascii="宋体" w:hAnsi="宋体" w:cs="宋体"/>
          <w:sz w:val="24"/>
          <w:szCs w:val="24"/>
          <w:lang w:val="en-US" w:eastAsia="zh-CN"/>
        </w:rPr>
        <w:t>仅能编辑未提交状态的专报信息</w:t>
      </w:r>
      <w:r>
        <w:rPr>
          <w:rFonts w:hint="eastAsia" w:ascii="宋体" w:hAnsi="宋体" w:eastAsia="宋体" w:cs="宋体"/>
          <w:sz w:val="24"/>
          <w:szCs w:val="24"/>
        </w:rPr>
        <w:t>。</w:t>
      </w:r>
    </w:p>
    <w:p>
      <w:pPr>
        <w:keepNext w:val="0"/>
        <w:keepLines w:val="0"/>
        <w:pageBreakBefore w:val="0"/>
        <w:widowControl w:val="0"/>
        <w:numPr>
          <w:ilvl w:val="0"/>
          <w:numId w:val="21"/>
        </w:numPr>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cs="宋体"/>
          <w:b/>
          <w:bCs/>
          <w:sz w:val="24"/>
          <w:szCs w:val="24"/>
          <w:lang w:val="en-US" w:eastAsia="zh-CN"/>
        </w:rPr>
        <w:t>专报删除</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宋体" w:hAnsi="宋体" w:eastAsia="宋体" w:cs="宋体"/>
          <w:sz w:val="24"/>
          <w:szCs w:val="24"/>
        </w:rPr>
      </w:pPr>
      <w:r>
        <w:rPr>
          <w:rFonts w:hint="eastAsia" w:ascii="宋体" w:hAnsi="宋体" w:eastAsia="宋体" w:cs="宋体"/>
          <w:sz w:val="24"/>
          <w:szCs w:val="24"/>
        </w:rPr>
        <w:t>提供</w:t>
      </w:r>
      <w:r>
        <w:rPr>
          <w:rFonts w:hint="eastAsia" w:ascii="宋体" w:hAnsi="宋体" w:cs="宋体"/>
          <w:sz w:val="24"/>
          <w:szCs w:val="24"/>
          <w:lang w:val="en-US" w:eastAsia="zh-CN"/>
        </w:rPr>
        <w:t>专报信息删除</w:t>
      </w:r>
      <w:r>
        <w:rPr>
          <w:rFonts w:hint="eastAsia" w:ascii="宋体" w:hAnsi="宋体" w:eastAsia="宋体" w:cs="宋体"/>
          <w:sz w:val="24"/>
          <w:szCs w:val="24"/>
        </w:rPr>
        <w:t>功能</w:t>
      </w:r>
      <w:r>
        <w:rPr>
          <w:rFonts w:hint="eastAsia" w:ascii="宋体" w:hAnsi="宋体" w:cs="宋体"/>
          <w:sz w:val="24"/>
          <w:szCs w:val="24"/>
          <w:lang w:eastAsia="zh-CN"/>
        </w:rPr>
        <w:t>，</w:t>
      </w:r>
      <w:r>
        <w:rPr>
          <w:rFonts w:hint="eastAsia" w:ascii="宋体" w:hAnsi="宋体" w:cs="宋体"/>
          <w:sz w:val="24"/>
          <w:szCs w:val="24"/>
          <w:lang w:val="en-US" w:eastAsia="zh-CN"/>
        </w:rPr>
        <w:t>仅能删除未提交状态的专报信息</w:t>
      </w:r>
      <w:r>
        <w:rPr>
          <w:rFonts w:hint="eastAsia" w:ascii="宋体" w:hAnsi="宋体" w:eastAsia="宋体" w:cs="宋体"/>
          <w:sz w:val="24"/>
          <w:szCs w:val="24"/>
        </w:rPr>
        <w:t>。</w:t>
      </w:r>
    </w:p>
    <w:p>
      <w:pPr>
        <w:keepNext w:val="0"/>
        <w:keepLines w:val="0"/>
        <w:pageBreakBefore w:val="0"/>
        <w:widowControl w:val="0"/>
        <w:numPr>
          <w:ilvl w:val="0"/>
          <w:numId w:val="21"/>
        </w:numPr>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cs="宋体"/>
          <w:b/>
          <w:bCs/>
          <w:sz w:val="24"/>
          <w:szCs w:val="24"/>
          <w:lang w:val="en-US" w:eastAsia="zh-CN"/>
        </w:rPr>
        <w:t>专报查询</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提供</w:t>
      </w:r>
      <w:r>
        <w:rPr>
          <w:rFonts w:hint="eastAsia" w:ascii="宋体" w:hAnsi="宋体" w:cs="宋体"/>
          <w:sz w:val="24"/>
          <w:szCs w:val="24"/>
          <w:lang w:val="en-US" w:eastAsia="zh-CN"/>
        </w:rPr>
        <w:t>专报信息查询</w:t>
      </w:r>
      <w:r>
        <w:rPr>
          <w:rFonts w:hint="eastAsia" w:ascii="宋体" w:hAnsi="宋体" w:eastAsia="宋体" w:cs="宋体"/>
          <w:sz w:val="24"/>
          <w:szCs w:val="24"/>
        </w:rPr>
        <w:t>功能</w:t>
      </w:r>
      <w:r>
        <w:rPr>
          <w:rFonts w:hint="eastAsia" w:ascii="宋体" w:hAnsi="宋体" w:cs="宋体"/>
          <w:sz w:val="24"/>
          <w:szCs w:val="24"/>
          <w:lang w:eastAsia="zh-CN"/>
        </w:rPr>
        <w:t>，</w:t>
      </w:r>
      <w:r>
        <w:rPr>
          <w:rFonts w:hint="eastAsia" w:ascii="宋体" w:hAnsi="宋体" w:cs="宋体"/>
          <w:sz w:val="24"/>
          <w:szCs w:val="24"/>
          <w:lang w:val="en-US" w:eastAsia="zh-CN"/>
        </w:rPr>
        <w:t>支持按照专报名称、专报日期、签发人、联系人等筛选条件查询专报信息</w:t>
      </w:r>
      <w:r>
        <w:rPr>
          <w:rFonts w:hint="eastAsia" w:ascii="宋体" w:hAnsi="宋体" w:eastAsia="宋体" w:cs="宋体"/>
          <w:sz w:val="24"/>
          <w:szCs w:val="24"/>
        </w:rPr>
        <w:t>。</w:t>
      </w:r>
      <w:r>
        <w:rPr>
          <w:rFonts w:hint="eastAsia" w:ascii="宋体" w:hAnsi="宋体" w:cs="宋体"/>
          <w:sz w:val="24"/>
          <w:szCs w:val="24"/>
          <w:lang w:val="en-US" w:eastAsia="zh-CN"/>
        </w:rPr>
        <w:t>支持按照基本情况、存在问题及风险、下一步工作建议关键字查询专报信息。</w:t>
      </w: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数据需求</w:t>
      </w:r>
    </w:p>
    <w:p>
      <w:pPr>
        <w:pStyle w:val="5"/>
        <w:rPr>
          <w:rFonts w:hint="default"/>
          <w:b/>
          <w:bCs/>
          <w:sz w:val="24"/>
          <w:szCs w:val="24"/>
          <w:lang w:val="en-US" w:eastAsia="zh-CN"/>
        </w:rPr>
      </w:pPr>
      <w:r>
        <w:rPr>
          <w:rFonts w:hint="eastAsia" w:cs="Times New Roman"/>
          <w:b/>
          <w:bCs/>
          <w:kern w:val="2"/>
          <w:sz w:val="24"/>
          <w:szCs w:val="24"/>
          <w:lang w:val="en-US" w:eastAsia="zh-CN" w:bidi="ar-SA"/>
        </w:rPr>
        <w:t>1、专报数据</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7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专报数据表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字段名称</w:t>
            </w:r>
          </w:p>
        </w:tc>
        <w:tc>
          <w:tcPr>
            <w:tcW w:w="406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360" w:lineRule="auto"/>
              <w:rPr>
                <w:rFonts w:ascii="仿宋" w:hAnsi="仿宋" w:cs="仿宋"/>
                <w:color w:val="000000"/>
                <w:sz w:val="21"/>
                <w:szCs w:val="21"/>
              </w:rPr>
            </w:pPr>
            <w:r>
              <w:rPr>
                <w:rFonts w:hint="eastAsia" w:ascii="仿宋" w:hAnsi="仿宋" w:cs="仿宋"/>
                <w:color w:val="000000"/>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文号</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根据编码规则自动生成、唯一性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签发人</w:t>
            </w:r>
          </w:p>
        </w:tc>
        <w:tc>
          <w:tcPr>
            <w:tcW w:w="406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显示专报签发人信息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基本情况</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显示专报基本情况信息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存在问题及风险</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记录存在的问题及风险信息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下一步工作建议</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记录下一步工作建议信息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签发部门</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显示专报签发部门信息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签发日期</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显示专报签发日期信息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联系人</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显示联系人信息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eastAsia="宋体" w:cs="仿宋"/>
                <w:color w:val="000000"/>
                <w:sz w:val="21"/>
                <w:szCs w:val="21"/>
                <w:lang w:val="en-US" w:eastAsia="zh-CN"/>
              </w:rPr>
            </w:pPr>
            <w:r>
              <w:rPr>
                <w:rFonts w:hint="eastAsia" w:ascii="仿宋" w:hAnsi="仿宋" w:cs="仿宋"/>
                <w:color w:val="000000"/>
                <w:sz w:val="21"/>
                <w:szCs w:val="21"/>
                <w:lang w:val="en-US" w:eastAsia="zh-CN"/>
              </w:rPr>
              <w:t>附件</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显示专报附件信息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30" w:type="pc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仿宋" w:hAnsi="仿宋" w:cs="仿宋"/>
                <w:color w:val="000000"/>
                <w:sz w:val="21"/>
                <w:szCs w:val="21"/>
              </w:rPr>
            </w:pPr>
            <w:r>
              <w:rPr>
                <w:rFonts w:hint="eastAsia" w:ascii="仿宋" w:hAnsi="仿宋" w:cs="仿宋"/>
                <w:color w:val="000000"/>
                <w:sz w:val="21"/>
                <w:szCs w:val="21"/>
              </w:rPr>
              <w:t>备注</w:t>
            </w:r>
          </w:p>
        </w:tc>
        <w:tc>
          <w:tcPr>
            <w:tcW w:w="4069" w:type="pct"/>
            <w:tcBorders>
              <w:top w:val="single" w:color="auto" w:sz="4" w:space="0"/>
              <w:left w:val="single" w:color="auto" w:sz="4" w:space="0"/>
              <w:bottom w:val="single" w:color="auto" w:sz="4" w:space="0"/>
              <w:right w:val="single" w:color="auto" w:sz="4" w:space="0"/>
            </w:tcBorders>
            <w:vAlign w:val="center"/>
          </w:tcPr>
          <w:p>
            <w:pPr>
              <w:spacing w:line="360" w:lineRule="auto"/>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显示其他备注信息</w:t>
            </w:r>
          </w:p>
        </w:tc>
      </w:tr>
    </w:tbl>
    <w:p>
      <w:pPr>
        <w:pStyle w:val="5"/>
        <w:rPr>
          <w:rFonts w:hint="eastAsia"/>
          <w:lang w:val="en-US" w:eastAsia="zh-CN"/>
        </w:rPr>
      </w:pP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权限需求</w:t>
      </w:r>
    </w:p>
    <w:tbl>
      <w:tblPr>
        <w:tblStyle w:val="34"/>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843"/>
        <w:gridCol w:w="1701"/>
        <w:gridCol w:w="1984"/>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序号</w:t>
            </w:r>
          </w:p>
        </w:tc>
        <w:tc>
          <w:tcPr>
            <w:tcW w:w="1843" w:type="dxa"/>
            <w:shd w:val="clear" w:color="auto" w:fill="D9D9D9"/>
          </w:tcPr>
          <w:p>
            <w:pPr>
              <w:spacing w:line="360" w:lineRule="auto"/>
              <w:rPr>
                <w:rFonts w:ascii="宋体" w:hAnsi="宋体" w:eastAsia="Times New Roman" w:cs="宋体"/>
                <w:b/>
                <w:bCs/>
                <w:sz w:val="21"/>
                <w:szCs w:val="21"/>
              </w:rPr>
            </w:pPr>
            <w:r>
              <w:rPr>
                <w:rFonts w:hint="eastAsia" w:ascii="宋体" w:hAnsi="宋体" w:eastAsia="宋体" w:cs="宋体"/>
                <w:b/>
                <w:bCs/>
                <w:sz w:val="21"/>
                <w:szCs w:val="21"/>
              </w:rPr>
              <w:t>模块</w:t>
            </w:r>
          </w:p>
        </w:tc>
        <w:tc>
          <w:tcPr>
            <w:tcW w:w="1701" w:type="dxa"/>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菜单权限</w:t>
            </w:r>
          </w:p>
        </w:tc>
        <w:tc>
          <w:tcPr>
            <w:tcW w:w="1984" w:type="dxa"/>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按钮权限</w:t>
            </w:r>
          </w:p>
        </w:tc>
        <w:tc>
          <w:tcPr>
            <w:tcW w:w="2693" w:type="dxa"/>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数据权限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ascii="Times New Roman" w:hAnsi="Times New Roman"/>
                <w:sz w:val="21"/>
                <w:szCs w:val="21"/>
              </w:rPr>
            </w:pPr>
            <w:r>
              <w:rPr>
                <w:rFonts w:hint="eastAsia" w:ascii="Times New Roman" w:hAnsi="Times New Roman"/>
                <w:sz w:val="21"/>
                <w:szCs w:val="21"/>
              </w:rPr>
              <w:t>1</w:t>
            </w:r>
          </w:p>
        </w:tc>
        <w:tc>
          <w:tcPr>
            <w:tcW w:w="1843"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专报新增</w:t>
            </w:r>
          </w:p>
        </w:tc>
        <w:tc>
          <w:tcPr>
            <w:tcW w:w="1701" w:type="dxa"/>
          </w:tcPr>
          <w:p>
            <w:pPr>
              <w:spacing w:line="360" w:lineRule="auto"/>
              <w:rPr>
                <w:rFonts w:ascii="Times New Roman" w:hAnsi="Times New Roman"/>
                <w:sz w:val="21"/>
                <w:szCs w:val="21"/>
              </w:rPr>
            </w:pPr>
            <w:r>
              <w:rPr>
                <w:rFonts w:hint="eastAsia" w:ascii="Times New Roman" w:hAnsi="Times New Roman"/>
                <w:sz w:val="21"/>
                <w:szCs w:val="21"/>
              </w:rPr>
              <w:t>按角色授权</w:t>
            </w:r>
          </w:p>
        </w:tc>
        <w:tc>
          <w:tcPr>
            <w:tcW w:w="1984" w:type="dxa"/>
          </w:tcPr>
          <w:p>
            <w:pPr>
              <w:spacing w:line="360" w:lineRule="auto"/>
              <w:rPr>
                <w:rFonts w:ascii="Times New Roman" w:hAnsi="Times New Roman"/>
                <w:sz w:val="21"/>
                <w:szCs w:val="21"/>
              </w:rPr>
            </w:pPr>
            <w:r>
              <w:rPr>
                <w:rFonts w:hint="eastAsia" w:ascii="Times New Roman" w:hAnsi="Times New Roman"/>
                <w:sz w:val="21"/>
                <w:szCs w:val="21"/>
              </w:rPr>
              <w:t>按角色授权</w:t>
            </w:r>
          </w:p>
        </w:tc>
        <w:tc>
          <w:tcPr>
            <w:tcW w:w="2693" w:type="dxa"/>
          </w:tcPr>
          <w:p>
            <w:pPr>
              <w:spacing w:line="360" w:lineRule="auto"/>
              <w:rPr>
                <w:rFonts w:ascii="Times New Roman" w:hAnsi="Times New Roman"/>
                <w:sz w:val="21"/>
                <w:szCs w:val="21"/>
              </w:rPr>
            </w:pPr>
            <w:r>
              <w:rPr>
                <w:rFonts w:hint="eastAsia" w:ascii="Times New Roman" w:hAnsi="Times New Roman"/>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2</w:t>
            </w:r>
          </w:p>
        </w:tc>
        <w:tc>
          <w:tcPr>
            <w:tcW w:w="1843"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专报编辑</w:t>
            </w:r>
          </w:p>
        </w:tc>
        <w:tc>
          <w:tcPr>
            <w:tcW w:w="1701"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按角色授权</w:t>
            </w:r>
          </w:p>
        </w:tc>
        <w:tc>
          <w:tcPr>
            <w:tcW w:w="1984"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按角色授权</w:t>
            </w:r>
          </w:p>
        </w:tc>
        <w:tc>
          <w:tcPr>
            <w:tcW w:w="2693" w:type="dxa"/>
          </w:tcPr>
          <w:p>
            <w:pPr>
              <w:spacing w:line="360" w:lineRule="auto"/>
              <w:rPr>
                <w:rFonts w:hint="eastAsia" w:ascii="Times New Roman" w:hAnsi="Times New Roman" w:eastAsia="宋体"/>
                <w:sz w:val="21"/>
                <w:szCs w:val="21"/>
                <w:lang w:val="en-US" w:eastAsia="zh-CN"/>
              </w:rPr>
            </w:pPr>
            <w:r>
              <w:rPr>
                <w:rFonts w:hint="eastAsia" w:ascii="Times New Roman" w:hAnsi="Times New Roman"/>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default" w:ascii="Times New Roman" w:hAnsi="Times New Roman"/>
                <w:sz w:val="21"/>
                <w:szCs w:val="21"/>
                <w:lang w:val="en-US" w:eastAsia="zh-CN"/>
              </w:rPr>
            </w:pPr>
            <w:r>
              <w:rPr>
                <w:rFonts w:hint="eastAsia" w:ascii="Times New Roman" w:hAnsi="Times New Roman"/>
                <w:sz w:val="21"/>
                <w:szCs w:val="21"/>
                <w:lang w:val="en-US" w:eastAsia="zh-CN"/>
              </w:rPr>
              <w:t>3</w:t>
            </w:r>
          </w:p>
        </w:tc>
        <w:tc>
          <w:tcPr>
            <w:tcW w:w="1843" w:type="dxa"/>
          </w:tcPr>
          <w:p>
            <w:pPr>
              <w:spacing w:line="360" w:lineRule="auto"/>
              <w:rPr>
                <w:rFonts w:hint="default" w:ascii="Times New Roman" w:hAnsi="Times New Roman"/>
                <w:sz w:val="21"/>
                <w:szCs w:val="21"/>
                <w:lang w:val="en-US" w:eastAsia="zh-CN"/>
              </w:rPr>
            </w:pPr>
            <w:r>
              <w:rPr>
                <w:rFonts w:hint="eastAsia" w:ascii="Times New Roman" w:hAnsi="Times New Roman"/>
                <w:sz w:val="21"/>
                <w:szCs w:val="21"/>
                <w:lang w:val="en-US" w:eastAsia="zh-CN"/>
              </w:rPr>
              <w:t>专报删除</w:t>
            </w:r>
          </w:p>
        </w:tc>
        <w:tc>
          <w:tcPr>
            <w:tcW w:w="1701"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lang w:val="en-US" w:eastAsia="zh-CN"/>
              </w:rPr>
              <w:t>按角色授权</w:t>
            </w:r>
          </w:p>
        </w:tc>
        <w:tc>
          <w:tcPr>
            <w:tcW w:w="1984"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lang w:val="en-US" w:eastAsia="zh-CN"/>
              </w:rPr>
              <w:t>按角色授权</w:t>
            </w:r>
          </w:p>
        </w:tc>
        <w:tc>
          <w:tcPr>
            <w:tcW w:w="2693"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default" w:ascii="Times New Roman" w:hAnsi="Times New Roman"/>
                <w:sz w:val="21"/>
                <w:szCs w:val="21"/>
                <w:lang w:val="en-US" w:eastAsia="zh-CN"/>
              </w:rPr>
            </w:pPr>
            <w:r>
              <w:rPr>
                <w:rFonts w:hint="eastAsia" w:ascii="Times New Roman" w:hAnsi="Times New Roman"/>
                <w:sz w:val="21"/>
                <w:szCs w:val="21"/>
                <w:lang w:val="en-US" w:eastAsia="zh-CN"/>
              </w:rPr>
              <w:t>4</w:t>
            </w:r>
          </w:p>
        </w:tc>
        <w:tc>
          <w:tcPr>
            <w:tcW w:w="1843" w:type="dxa"/>
          </w:tcPr>
          <w:p>
            <w:pPr>
              <w:spacing w:line="360" w:lineRule="auto"/>
              <w:rPr>
                <w:rFonts w:hint="default" w:ascii="Times New Roman" w:hAnsi="Times New Roman"/>
                <w:sz w:val="21"/>
                <w:szCs w:val="21"/>
                <w:lang w:val="en-US" w:eastAsia="zh-CN"/>
              </w:rPr>
            </w:pPr>
            <w:r>
              <w:rPr>
                <w:rFonts w:hint="eastAsia" w:ascii="Times New Roman" w:hAnsi="Times New Roman"/>
                <w:sz w:val="21"/>
                <w:szCs w:val="21"/>
                <w:lang w:val="en-US" w:eastAsia="zh-CN"/>
              </w:rPr>
              <w:t>专报查询</w:t>
            </w:r>
          </w:p>
        </w:tc>
        <w:tc>
          <w:tcPr>
            <w:tcW w:w="1701"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lang w:val="en-US" w:eastAsia="zh-CN"/>
              </w:rPr>
              <w:t>按角色授权</w:t>
            </w:r>
          </w:p>
        </w:tc>
        <w:tc>
          <w:tcPr>
            <w:tcW w:w="1984"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lang w:val="en-US" w:eastAsia="zh-CN"/>
              </w:rPr>
              <w:t>按角色授权</w:t>
            </w:r>
          </w:p>
        </w:tc>
        <w:tc>
          <w:tcPr>
            <w:tcW w:w="2693"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rPr>
              <w:t>按角色授权</w:t>
            </w:r>
          </w:p>
        </w:tc>
      </w:tr>
    </w:tbl>
    <w:p>
      <w:pPr>
        <w:pStyle w:val="5"/>
        <w:rPr>
          <w:rFonts w:hint="eastAsia"/>
          <w:lang w:val="en-US" w:eastAsia="zh-CN"/>
        </w:rPr>
      </w:pPr>
    </w:p>
    <w:p>
      <w:pPr>
        <w:pStyle w:val="6"/>
        <w:rPr>
          <w:rFonts w:hint="eastAsia" w:cs="Times New Roman" w:asciiTheme="minorEastAsia" w:hAnsiTheme="minorEastAsia" w:eastAsiaTheme="minorEastAsia"/>
          <w:b/>
          <w:bCs/>
          <w:kern w:val="2"/>
          <w:sz w:val="24"/>
          <w:szCs w:val="24"/>
          <w:lang w:val="en-US" w:eastAsia="zh-CN" w:bidi="ar-SA"/>
        </w:rPr>
      </w:pPr>
      <w:bookmarkStart w:id="68" w:name="_Toc2151"/>
      <w:r>
        <w:rPr>
          <w:rFonts w:hint="eastAsia" w:cs="Times New Roman" w:asciiTheme="minorEastAsia" w:hAnsiTheme="minorEastAsia" w:eastAsiaTheme="minorEastAsia"/>
          <w:b/>
          <w:bCs/>
          <w:kern w:val="2"/>
          <w:sz w:val="24"/>
          <w:szCs w:val="24"/>
          <w:lang w:val="en-US" w:eastAsia="zh-CN" w:bidi="ar-SA"/>
        </w:rPr>
        <w:t>日常管理</w:t>
      </w:r>
      <w:bookmarkEnd w:id="68"/>
    </w:p>
    <w:p>
      <w:pPr>
        <w:pStyle w:val="7"/>
      </w:pPr>
      <w:bookmarkStart w:id="69" w:name="_Toc12635"/>
      <w:r>
        <w:rPr>
          <w:rFonts w:hint="eastAsia"/>
          <w:lang w:val="en-US" w:eastAsia="zh-CN"/>
        </w:rPr>
        <w:t>工作周报管理</w:t>
      </w:r>
      <w:bookmarkEnd w:id="69"/>
    </w:p>
    <w:p>
      <w:pPr>
        <w:pStyle w:val="8"/>
      </w:pPr>
      <w:r>
        <w:rPr>
          <w:rFonts w:hint="eastAsia"/>
          <w:lang w:val="en-US" w:eastAsia="zh-CN"/>
        </w:rPr>
        <w:t>功能描述</w:t>
      </w:r>
    </w:p>
    <w:p>
      <w:pPr>
        <w:keepNext w:val="0"/>
        <w:keepLines w:val="0"/>
        <w:pageBreakBefore w:val="0"/>
        <w:widowControl w:val="0"/>
        <w:numPr>
          <w:ilvl w:val="0"/>
          <w:numId w:val="22"/>
        </w:numPr>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cs="宋体"/>
          <w:b/>
          <w:bCs/>
          <w:sz w:val="24"/>
          <w:szCs w:val="24"/>
          <w:lang w:val="en-US" w:eastAsia="zh-CN"/>
        </w:rPr>
        <w:t>工作周报新增</w:t>
      </w:r>
    </w:p>
    <w:p>
      <w:pPr>
        <w:keepNext w:val="0"/>
        <w:keepLines w:val="0"/>
        <w:pageBreakBefore w:val="0"/>
        <w:widowControl w:val="0"/>
        <w:kinsoku/>
        <w:wordWrap/>
        <w:overflowPunct/>
        <w:topLinePunct w:val="0"/>
        <w:autoSpaceDE/>
        <w:autoSpaceDN/>
        <w:bidi w:val="0"/>
        <w:adjustRightInd/>
        <w:snapToGrid/>
        <w:spacing w:line="360" w:lineRule="auto"/>
        <w:ind w:firstLine="560"/>
        <w:textAlignment w:val="auto"/>
        <w:rPr>
          <w:rFonts w:hint="eastAsia" w:ascii="宋体" w:hAnsi="宋体" w:eastAsia="宋体" w:cs="宋体"/>
          <w:sz w:val="24"/>
          <w:szCs w:val="24"/>
        </w:rPr>
      </w:pPr>
      <w:r>
        <w:rPr>
          <w:rFonts w:hint="eastAsia" w:ascii="宋体" w:hAnsi="宋体" w:eastAsia="宋体" w:cs="宋体"/>
          <w:sz w:val="24"/>
          <w:szCs w:val="24"/>
        </w:rPr>
        <w:t>提供</w:t>
      </w:r>
      <w:r>
        <w:rPr>
          <w:rFonts w:hint="eastAsia" w:ascii="宋体" w:hAnsi="宋体" w:cs="宋体"/>
          <w:sz w:val="24"/>
          <w:szCs w:val="24"/>
          <w:lang w:val="en-US" w:eastAsia="zh-CN"/>
        </w:rPr>
        <w:t>工作周报</w:t>
      </w:r>
      <w:r>
        <w:rPr>
          <w:rFonts w:hint="eastAsia" w:ascii="宋体" w:hAnsi="宋体" w:eastAsia="宋体" w:cs="宋体"/>
          <w:sz w:val="24"/>
          <w:szCs w:val="24"/>
        </w:rPr>
        <w:t>信息的</w:t>
      </w:r>
      <w:r>
        <w:rPr>
          <w:rFonts w:hint="eastAsia" w:ascii="宋体" w:hAnsi="宋体" w:cs="宋体"/>
          <w:sz w:val="24"/>
          <w:szCs w:val="24"/>
          <w:lang w:val="en-US" w:eastAsia="zh-CN"/>
        </w:rPr>
        <w:t>新增</w:t>
      </w:r>
      <w:r>
        <w:rPr>
          <w:rFonts w:hint="eastAsia" w:ascii="宋体" w:hAnsi="宋体" w:eastAsia="宋体" w:cs="宋体"/>
          <w:sz w:val="24"/>
          <w:szCs w:val="24"/>
        </w:rPr>
        <w:t>功能</w:t>
      </w:r>
      <w:r>
        <w:rPr>
          <w:rFonts w:hint="eastAsia" w:ascii="宋体" w:hAnsi="宋体" w:cs="宋体"/>
          <w:sz w:val="24"/>
          <w:szCs w:val="24"/>
          <w:lang w:eastAsia="zh-CN"/>
        </w:rPr>
        <w:t>，</w:t>
      </w:r>
      <w:r>
        <w:rPr>
          <w:rFonts w:hint="eastAsia" w:ascii="宋体" w:hAnsi="宋体" w:cs="宋体"/>
          <w:sz w:val="24"/>
          <w:szCs w:val="24"/>
          <w:lang w:val="en-US" w:eastAsia="zh-CN"/>
        </w:rPr>
        <w:t>用户填写工作周报信息后，点击提交完成工作周报新增</w:t>
      </w:r>
      <w:r>
        <w:rPr>
          <w:rFonts w:hint="eastAsia" w:ascii="宋体" w:hAnsi="宋体" w:eastAsia="宋体" w:cs="宋体"/>
          <w:sz w:val="24"/>
          <w:szCs w:val="24"/>
        </w:rPr>
        <w:t>。</w:t>
      </w:r>
    </w:p>
    <w:p>
      <w:pPr>
        <w:keepNext w:val="0"/>
        <w:keepLines w:val="0"/>
        <w:pageBreakBefore w:val="0"/>
        <w:widowControl w:val="0"/>
        <w:numPr>
          <w:ilvl w:val="0"/>
          <w:numId w:val="22"/>
        </w:numPr>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cs="宋体"/>
          <w:b/>
          <w:bCs/>
          <w:sz w:val="24"/>
          <w:szCs w:val="24"/>
          <w:lang w:val="en-US" w:eastAsia="zh-CN"/>
        </w:rPr>
        <w:t>工作周报</w:t>
      </w:r>
      <w:r>
        <w:rPr>
          <w:rFonts w:hint="eastAsia" w:ascii="宋体" w:hAnsi="宋体" w:eastAsia="宋体" w:cs="宋体"/>
          <w:b/>
          <w:bCs/>
          <w:sz w:val="24"/>
          <w:szCs w:val="24"/>
        </w:rPr>
        <w:t>编辑</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提供</w:t>
      </w:r>
      <w:r>
        <w:rPr>
          <w:rFonts w:hint="eastAsia" w:ascii="宋体" w:hAnsi="宋体" w:cs="宋体"/>
          <w:sz w:val="24"/>
          <w:szCs w:val="24"/>
          <w:lang w:val="en-US" w:eastAsia="zh-CN"/>
        </w:rPr>
        <w:t>工作周报信息的</w:t>
      </w:r>
      <w:r>
        <w:rPr>
          <w:rFonts w:hint="eastAsia" w:ascii="宋体" w:hAnsi="宋体" w:eastAsia="宋体" w:cs="宋体"/>
          <w:sz w:val="24"/>
          <w:szCs w:val="24"/>
        </w:rPr>
        <w:t>编辑功能</w:t>
      </w:r>
      <w:r>
        <w:rPr>
          <w:rFonts w:hint="eastAsia" w:ascii="宋体" w:hAnsi="宋体" w:cs="宋体"/>
          <w:sz w:val="24"/>
          <w:szCs w:val="24"/>
          <w:lang w:eastAsia="zh-CN"/>
        </w:rPr>
        <w:t>，</w:t>
      </w:r>
      <w:r>
        <w:rPr>
          <w:rFonts w:hint="eastAsia" w:ascii="宋体" w:hAnsi="宋体" w:cs="宋体"/>
          <w:sz w:val="24"/>
          <w:szCs w:val="24"/>
          <w:lang w:val="en-US" w:eastAsia="zh-CN"/>
        </w:rPr>
        <w:t>用户仅能编辑处于未提交状态的工作周报。</w:t>
      </w:r>
    </w:p>
    <w:p>
      <w:pPr>
        <w:keepNext w:val="0"/>
        <w:keepLines w:val="0"/>
        <w:pageBreakBefore w:val="0"/>
        <w:widowControl w:val="0"/>
        <w:numPr>
          <w:ilvl w:val="0"/>
          <w:numId w:val="22"/>
        </w:numPr>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cs="宋体"/>
          <w:b/>
          <w:bCs/>
          <w:sz w:val="24"/>
          <w:szCs w:val="24"/>
          <w:lang w:val="en-US" w:eastAsia="zh-CN"/>
        </w:rPr>
        <w:t>工作周报</w:t>
      </w:r>
      <w:r>
        <w:rPr>
          <w:rFonts w:hint="eastAsia" w:ascii="宋体" w:hAnsi="宋体" w:eastAsia="宋体" w:cs="宋体"/>
          <w:b/>
          <w:bCs/>
          <w:sz w:val="24"/>
          <w:szCs w:val="24"/>
        </w:rPr>
        <w:t>删除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提供</w:t>
      </w:r>
      <w:r>
        <w:rPr>
          <w:rFonts w:hint="eastAsia" w:ascii="宋体" w:hAnsi="宋体" w:cs="宋体"/>
          <w:sz w:val="24"/>
          <w:szCs w:val="24"/>
          <w:lang w:val="en-US" w:eastAsia="zh-CN"/>
        </w:rPr>
        <w:t>工作周报信息</w:t>
      </w:r>
      <w:r>
        <w:rPr>
          <w:rFonts w:hint="eastAsia" w:ascii="宋体" w:hAnsi="宋体" w:eastAsia="宋体" w:cs="宋体"/>
          <w:sz w:val="24"/>
          <w:szCs w:val="24"/>
        </w:rPr>
        <w:t>的删除功能</w:t>
      </w:r>
      <w:r>
        <w:rPr>
          <w:rFonts w:hint="eastAsia" w:ascii="宋体" w:hAnsi="宋体" w:cs="宋体"/>
          <w:sz w:val="24"/>
          <w:szCs w:val="24"/>
          <w:lang w:eastAsia="zh-CN"/>
        </w:rPr>
        <w:t>，</w:t>
      </w:r>
      <w:r>
        <w:rPr>
          <w:rFonts w:hint="eastAsia" w:ascii="宋体" w:hAnsi="宋体" w:cs="宋体"/>
          <w:sz w:val="24"/>
          <w:szCs w:val="24"/>
          <w:lang w:val="en-US" w:eastAsia="zh-CN"/>
        </w:rPr>
        <w:t>用户仅能删除处于未提交状态的工作周报。</w:t>
      </w:r>
      <w:r>
        <w:rPr>
          <w:rFonts w:hint="eastAsia" w:ascii="宋体" w:hAnsi="宋体" w:eastAsia="宋体" w:cs="宋体"/>
          <w:sz w:val="24"/>
          <w:szCs w:val="24"/>
        </w:rPr>
        <w:t>支持单个删除和批量删除两种操作方式。</w:t>
      </w:r>
    </w:p>
    <w:p>
      <w:pPr>
        <w:keepNext w:val="0"/>
        <w:keepLines w:val="0"/>
        <w:pageBreakBefore w:val="0"/>
        <w:widowControl w:val="0"/>
        <w:numPr>
          <w:ilvl w:val="0"/>
          <w:numId w:val="22"/>
        </w:numPr>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cs="宋体"/>
          <w:b/>
          <w:bCs/>
          <w:sz w:val="24"/>
          <w:szCs w:val="24"/>
          <w:lang w:val="en-US" w:eastAsia="zh-CN"/>
        </w:rPr>
        <w:t>工作周报</w:t>
      </w:r>
      <w:r>
        <w:rPr>
          <w:rFonts w:hint="eastAsia" w:ascii="宋体" w:hAnsi="宋体" w:eastAsia="宋体" w:cs="宋体"/>
          <w:b/>
          <w:bCs/>
          <w:sz w:val="24"/>
          <w:szCs w:val="24"/>
        </w:rPr>
        <w:t>查询</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提供</w:t>
      </w:r>
      <w:r>
        <w:rPr>
          <w:rFonts w:hint="eastAsia" w:ascii="宋体" w:hAnsi="宋体" w:cs="宋体"/>
          <w:sz w:val="24"/>
          <w:szCs w:val="24"/>
          <w:lang w:val="en-US" w:eastAsia="zh-CN"/>
        </w:rPr>
        <w:t>工作周报信息查询功能，支持</w:t>
      </w:r>
      <w:r>
        <w:rPr>
          <w:rFonts w:hint="eastAsia" w:ascii="宋体" w:hAnsi="宋体" w:eastAsia="宋体" w:cs="宋体"/>
          <w:sz w:val="24"/>
          <w:szCs w:val="24"/>
        </w:rPr>
        <w:t>按多种筛选条件</w:t>
      </w:r>
      <w:r>
        <w:rPr>
          <w:rFonts w:hint="eastAsia" w:ascii="宋体" w:hAnsi="宋体" w:cs="宋体"/>
          <w:sz w:val="24"/>
          <w:szCs w:val="24"/>
          <w:lang w:eastAsia="zh-CN"/>
        </w:rPr>
        <w:t>（</w:t>
      </w:r>
      <w:r>
        <w:rPr>
          <w:rFonts w:hint="eastAsia" w:ascii="宋体" w:hAnsi="宋体" w:cs="宋体"/>
          <w:sz w:val="24"/>
          <w:szCs w:val="24"/>
          <w:lang w:val="en-US" w:eastAsia="zh-CN"/>
        </w:rPr>
        <w:t>工号、姓名、日期、关键字等）</w:t>
      </w:r>
      <w:r>
        <w:rPr>
          <w:rFonts w:hint="eastAsia" w:ascii="宋体" w:hAnsi="宋体" w:eastAsia="宋体" w:cs="宋体"/>
          <w:sz w:val="24"/>
          <w:szCs w:val="24"/>
        </w:rPr>
        <w:t>查询</w:t>
      </w:r>
      <w:r>
        <w:rPr>
          <w:rFonts w:hint="eastAsia" w:ascii="宋体" w:hAnsi="宋体" w:cs="宋体"/>
          <w:sz w:val="24"/>
          <w:szCs w:val="24"/>
          <w:lang w:val="en-US" w:eastAsia="zh-CN"/>
        </w:rPr>
        <w:t>工作周报信息</w:t>
      </w:r>
      <w:r>
        <w:rPr>
          <w:rFonts w:hint="eastAsia" w:ascii="宋体" w:hAnsi="宋体" w:eastAsia="宋体" w:cs="宋体"/>
          <w:sz w:val="24"/>
          <w:szCs w:val="24"/>
        </w:rPr>
        <w:t>。</w:t>
      </w: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数据需求</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3"/>
        <w:gridCol w:w="7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240" w:lineRule="auto"/>
              <w:ind w:firstLine="0" w:firstLineChars="0"/>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工作周报数据表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240" w:lineRule="auto"/>
              <w:ind w:firstLine="0" w:firstLineChars="0"/>
              <w:rPr>
                <w:rFonts w:ascii="仿宋" w:hAnsi="仿宋" w:cs="仿宋"/>
                <w:color w:val="000000"/>
                <w:sz w:val="21"/>
                <w:szCs w:val="21"/>
              </w:rPr>
            </w:pPr>
            <w:r>
              <w:rPr>
                <w:rFonts w:hint="eastAsia" w:ascii="仿宋" w:hAnsi="仿宋" w:cs="仿宋"/>
                <w:color w:val="000000"/>
                <w:sz w:val="21"/>
                <w:szCs w:val="21"/>
              </w:rPr>
              <w:t>字段名称</w:t>
            </w:r>
          </w:p>
        </w:tc>
        <w:tc>
          <w:tcPr>
            <w:tcW w:w="407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240" w:lineRule="auto"/>
              <w:ind w:firstLine="0" w:firstLineChars="0"/>
              <w:rPr>
                <w:rFonts w:hint="eastAsia" w:ascii="仿宋" w:hAnsi="仿宋" w:eastAsia="宋体" w:cs="仿宋"/>
                <w:color w:val="000000"/>
                <w:sz w:val="21"/>
                <w:szCs w:val="21"/>
                <w:lang w:eastAsia="zh-CN"/>
              </w:rPr>
            </w:pPr>
            <w:r>
              <w:rPr>
                <w:rFonts w:hint="eastAsia" w:ascii="仿宋" w:hAnsi="仿宋" w:cs="仿宋"/>
                <w:color w:val="000000"/>
                <w:sz w:val="21"/>
                <w:szCs w:val="21"/>
                <w:lang w:val="en-US"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日期</w:t>
            </w:r>
          </w:p>
        </w:tc>
        <w:tc>
          <w:tcPr>
            <w:tcW w:w="407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显示周报日期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本周工作完成情况</w:t>
            </w:r>
          </w:p>
        </w:tc>
        <w:tc>
          <w:tcPr>
            <w:tcW w:w="407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本周工作完成情况信息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提交人工号</w:t>
            </w:r>
          </w:p>
        </w:tc>
        <w:tc>
          <w:tcPr>
            <w:tcW w:w="407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显示周报提交人工号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提交人姓名</w:t>
            </w:r>
          </w:p>
        </w:tc>
        <w:tc>
          <w:tcPr>
            <w:tcW w:w="407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显示周报提交人姓名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下周工作计划</w:t>
            </w:r>
          </w:p>
        </w:tc>
        <w:tc>
          <w:tcPr>
            <w:tcW w:w="407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显示下周工作计划内容信息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备注</w:t>
            </w:r>
          </w:p>
        </w:tc>
        <w:tc>
          <w:tcPr>
            <w:tcW w:w="407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显示备注信息</w:t>
            </w:r>
          </w:p>
        </w:tc>
      </w:tr>
    </w:tbl>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权限需求</w:t>
      </w:r>
    </w:p>
    <w:tbl>
      <w:tblPr>
        <w:tblStyle w:val="34"/>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843"/>
        <w:gridCol w:w="1701"/>
        <w:gridCol w:w="1984"/>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shd w:val="clear" w:color="auto" w:fill="D9D9D9"/>
          </w:tcPr>
          <w:p>
            <w:pPr>
              <w:spacing w:line="360" w:lineRule="auto"/>
              <w:rPr>
                <w:rFonts w:ascii="Times New Roman" w:hAnsi="Times New Roman" w:eastAsia="Times New Roman"/>
                <w:b/>
                <w:bCs/>
                <w:sz w:val="21"/>
                <w:szCs w:val="21"/>
              </w:rPr>
            </w:pPr>
            <w:bookmarkStart w:id="70" w:name="_Toc3945"/>
            <w:r>
              <w:rPr>
                <w:rFonts w:hint="eastAsia" w:ascii="宋体" w:hAnsi="宋体" w:eastAsia="宋体" w:cs="宋体"/>
                <w:b/>
                <w:bCs/>
                <w:sz w:val="21"/>
                <w:szCs w:val="21"/>
              </w:rPr>
              <w:t>序号</w:t>
            </w:r>
          </w:p>
        </w:tc>
        <w:tc>
          <w:tcPr>
            <w:tcW w:w="1843" w:type="dxa"/>
            <w:shd w:val="clear" w:color="auto" w:fill="D9D9D9"/>
          </w:tcPr>
          <w:p>
            <w:pPr>
              <w:spacing w:line="360" w:lineRule="auto"/>
              <w:rPr>
                <w:rFonts w:ascii="宋体" w:hAnsi="宋体" w:eastAsia="Times New Roman" w:cs="宋体"/>
                <w:b/>
                <w:bCs/>
                <w:sz w:val="21"/>
                <w:szCs w:val="21"/>
              </w:rPr>
            </w:pPr>
            <w:r>
              <w:rPr>
                <w:rFonts w:hint="eastAsia" w:ascii="宋体" w:hAnsi="宋体" w:eastAsia="宋体" w:cs="宋体"/>
                <w:b/>
                <w:bCs/>
                <w:sz w:val="21"/>
                <w:szCs w:val="21"/>
              </w:rPr>
              <w:t>模块</w:t>
            </w:r>
          </w:p>
        </w:tc>
        <w:tc>
          <w:tcPr>
            <w:tcW w:w="1701" w:type="dxa"/>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菜单权限</w:t>
            </w:r>
          </w:p>
        </w:tc>
        <w:tc>
          <w:tcPr>
            <w:tcW w:w="1984" w:type="dxa"/>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按钮权限</w:t>
            </w:r>
          </w:p>
        </w:tc>
        <w:tc>
          <w:tcPr>
            <w:tcW w:w="2693" w:type="dxa"/>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数据权限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ascii="Times New Roman" w:hAnsi="Times New Roman"/>
                <w:sz w:val="21"/>
                <w:szCs w:val="21"/>
              </w:rPr>
            </w:pPr>
            <w:r>
              <w:rPr>
                <w:rFonts w:hint="eastAsia" w:ascii="Times New Roman" w:hAnsi="Times New Roman"/>
                <w:sz w:val="21"/>
                <w:szCs w:val="21"/>
              </w:rPr>
              <w:t>1</w:t>
            </w:r>
          </w:p>
        </w:tc>
        <w:tc>
          <w:tcPr>
            <w:tcW w:w="1843"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工作日报新增</w:t>
            </w:r>
          </w:p>
        </w:tc>
        <w:tc>
          <w:tcPr>
            <w:tcW w:w="1701" w:type="dxa"/>
          </w:tcPr>
          <w:p>
            <w:pPr>
              <w:spacing w:line="360" w:lineRule="auto"/>
              <w:rPr>
                <w:rFonts w:ascii="Times New Roman" w:hAnsi="Times New Roman"/>
                <w:sz w:val="21"/>
                <w:szCs w:val="21"/>
              </w:rPr>
            </w:pPr>
            <w:r>
              <w:rPr>
                <w:rFonts w:hint="eastAsia" w:ascii="Times New Roman" w:hAnsi="Times New Roman"/>
                <w:sz w:val="21"/>
                <w:szCs w:val="21"/>
              </w:rPr>
              <w:t>按角色授权</w:t>
            </w:r>
          </w:p>
        </w:tc>
        <w:tc>
          <w:tcPr>
            <w:tcW w:w="1984" w:type="dxa"/>
          </w:tcPr>
          <w:p>
            <w:pPr>
              <w:spacing w:line="360" w:lineRule="auto"/>
              <w:rPr>
                <w:rFonts w:ascii="Times New Roman" w:hAnsi="Times New Roman"/>
                <w:sz w:val="21"/>
                <w:szCs w:val="21"/>
              </w:rPr>
            </w:pPr>
            <w:r>
              <w:rPr>
                <w:rFonts w:hint="eastAsia" w:ascii="Times New Roman" w:hAnsi="Times New Roman"/>
                <w:sz w:val="21"/>
                <w:szCs w:val="21"/>
              </w:rPr>
              <w:t>按角色授权</w:t>
            </w:r>
          </w:p>
        </w:tc>
        <w:tc>
          <w:tcPr>
            <w:tcW w:w="2693"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2</w:t>
            </w:r>
          </w:p>
        </w:tc>
        <w:tc>
          <w:tcPr>
            <w:tcW w:w="1843"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工作日报编辑</w:t>
            </w:r>
          </w:p>
        </w:tc>
        <w:tc>
          <w:tcPr>
            <w:tcW w:w="1701"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按角色授权</w:t>
            </w:r>
          </w:p>
        </w:tc>
        <w:tc>
          <w:tcPr>
            <w:tcW w:w="1984"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按角色授权</w:t>
            </w:r>
          </w:p>
        </w:tc>
        <w:tc>
          <w:tcPr>
            <w:tcW w:w="2693"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default" w:ascii="Times New Roman" w:hAnsi="Times New Roman"/>
                <w:sz w:val="21"/>
                <w:szCs w:val="21"/>
                <w:lang w:val="en-US" w:eastAsia="zh-CN"/>
              </w:rPr>
            </w:pPr>
            <w:r>
              <w:rPr>
                <w:rFonts w:hint="eastAsia" w:ascii="Times New Roman" w:hAnsi="Times New Roman"/>
                <w:sz w:val="21"/>
                <w:szCs w:val="21"/>
                <w:lang w:val="en-US" w:eastAsia="zh-CN"/>
              </w:rPr>
              <w:t>3</w:t>
            </w:r>
          </w:p>
        </w:tc>
        <w:tc>
          <w:tcPr>
            <w:tcW w:w="1843" w:type="dxa"/>
            <w:vAlign w:val="top"/>
          </w:tcPr>
          <w:p>
            <w:pPr>
              <w:spacing w:line="360" w:lineRule="auto"/>
              <w:rPr>
                <w:rFonts w:hint="default" w:ascii="Times New Roman" w:hAnsi="Times New Roman" w:eastAsia="宋体" w:cs="Calibri"/>
                <w:kern w:val="2"/>
                <w:sz w:val="21"/>
                <w:szCs w:val="21"/>
                <w:lang w:val="en-US" w:eastAsia="zh-CN" w:bidi="ar-SA"/>
              </w:rPr>
            </w:pPr>
            <w:r>
              <w:rPr>
                <w:rFonts w:hint="eastAsia" w:ascii="Times New Roman" w:hAnsi="Times New Roman"/>
                <w:sz w:val="21"/>
                <w:szCs w:val="21"/>
                <w:lang w:val="en-US" w:eastAsia="zh-CN"/>
              </w:rPr>
              <w:t>工作日报删除</w:t>
            </w:r>
          </w:p>
        </w:tc>
        <w:tc>
          <w:tcPr>
            <w:tcW w:w="1701"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lang w:val="en-US" w:eastAsia="zh-CN"/>
              </w:rPr>
              <w:t>按角色授权</w:t>
            </w:r>
          </w:p>
        </w:tc>
        <w:tc>
          <w:tcPr>
            <w:tcW w:w="1984"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lang w:val="en-US" w:eastAsia="zh-CN"/>
              </w:rPr>
              <w:t>按角色授权</w:t>
            </w:r>
          </w:p>
        </w:tc>
        <w:tc>
          <w:tcPr>
            <w:tcW w:w="2693"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default" w:ascii="Times New Roman" w:hAnsi="Times New Roman"/>
                <w:sz w:val="21"/>
                <w:szCs w:val="21"/>
                <w:lang w:val="en-US" w:eastAsia="zh-CN"/>
              </w:rPr>
            </w:pPr>
            <w:r>
              <w:rPr>
                <w:rFonts w:hint="eastAsia" w:ascii="Times New Roman" w:hAnsi="Times New Roman"/>
                <w:sz w:val="21"/>
                <w:szCs w:val="21"/>
                <w:lang w:val="en-US" w:eastAsia="zh-CN"/>
              </w:rPr>
              <w:t>4</w:t>
            </w:r>
          </w:p>
        </w:tc>
        <w:tc>
          <w:tcPr>
            <w:tcW w:w="1843"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lang w:val="en-US" w:eastAsia="zh-CN"/>
              </w:rPr>
              <w:t>工作日报查看</w:t>
            </w:r>
          </w:p>
        </w:tc>
        <w:tc>
          <w:tcPr>
            <w:tcW w:w="1701"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lang w:val="en-US" w:eastAsia="zh-CN"/>
              </w:rPr>
              <w:t>按角色授权</w:t>
            </w:r>
          </w:p>
        </w:tc>
        <w:tc>
          <w:tcPr>
            <w:tcW w:w="1984"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lang w:val="en-US" w:eastAsia="zh-CN"/>
              </w:rPr>
              <w:t>按角色授权</w:t>
            </w:r>
          </w:p>
        </w:tc>
        <w:tc>
          <w:tcPr>
            <w:tcW w:w="2693"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rPr>
              <w:t>按角色授权</w:t>
            </w:r>
          </w:p>
        </w:tc>
      </w:tr>
    </w:tbl>
    <w:p>
      <w:pPr>
        <w:pStyle w:val="7"/>
        <w:rPr>
          <w:rFonts w:hint="eastAsia" w:ascii="Times New Roman" w:hAnsi="Times New Roman" w:eastAsia="宋体" w:cs="Times New Roman"/>
          <w:b/>
          <w:bCs/>
          <w:kern w:val="2"/>
          <w:sz w:val="24"/>
          <w:szCs w:val="24"/>
          <w:lang w:val="en-US" w:eastAsia="zh-CN" w:bidi="ar-SA"/>
        </w:rPr>
      </w:pPr>
      <w:r>
        <w:rPr>
          <w:rFonts w:hint="eastAsia" w:cs="Times New Roman"/>
          <w:b/>
          <w:bCs/>
          <w:kern w:val="2"/>
          <w:sz w:val="24"/>
          <w:szCs w:val="24"/>
          <w:lang w:val="en-US" w:eastAsia="zh-CN" w:bidi="ar-SA"/>
        </w:rPr>
        <w:t>工作月报管理</w:t>
      </w:r>
    </w:p>
    <w:p>
      <w:pPr>
        <w:pStyle w:val="8"/>
      </w:pPr>
      <w:r>
        <w:rPr>
          <w:rFonts w:hint="eastAsia"/>
          <w:lang w:val="en-US" w:eastAsia="zh-CN"/>
        </w:rPr>
        <w:t>功能描述</w:t>
      </w:r>
    </w:p>
    <w:p>
      <w:pPr>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cs="宋体"/>
          <w:b/>
          <w:bCs/>
          <w:sz w:val="24"/>
          <w:szCs w:val="24"/>
          <w:lang w:val="en-US" w:eastAsia="zh-CN"/>
        </w:rPr>
        <w:t>工作月报新增</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宋体" w:hAnsi="宋体" w:eastAsia="宋体" w:cs="宋体"/>
          <w:sz w:val="24"/>
          <w:szCs w:val="24"/>
          <w:lang w:val="en-US"/>
        </w:rPr>
      </w:pPr>
      <w:r>
        <w:rPr>
          <w:rFonts w:hint="eastAsia" w:ascii="宋体" w:hAnsi="宋体" w:eastAsia="宋体" w:cs="宋体"/>
          <w:sz w:val="24"/>
          <w:szCs w:val="24"/>
        </w:rPr>
        <w:t>提供</w:t>
      </w:r>
      <w:r>
        <w:rPr>
          <w:rFonts w:hint="eastAsia" w:ascii="宋体" w:hAnsi="宋体" w:cs="宋体"/>
          <w:sz w:val="24"/>
          <w:szCs w:val="24"/>
          <w:lang w:val="en-US" w:eastAsia="zh-CN"/>
        </w:rPr>
        <w:t>工作月报新增</w:t>
      </w:r>
      <w:r>
        <w:rPr>
          <w:rFonts w:hint="eastAsia" w:ascii="宋体" w:hAnsi="宋体" w:eastAsia="宋体" w:cs="宋体"/>
          <w:sz w:val="24"/>
          <w:szCs w:val="24"/>
        </w:rPr>
        <w:t>功能</w:t>
      </w:r>
      <w:r>
        <w:rPr>
          <w:rFonts w:hint="eastAsia" w:ascii="宋体" w:hAnsi="宋体" w:cs="宋体"/>
          <w:sz w:val="24"/>
          <w:szCs w:val="24"/>
          <w:lang w:eastAsia="zh-CN"/>
        </w:rPr>
        <w:t>，</w:t>
      </w:r>
      <w:r>
        <w:rPr>
          <w:rFonts w:hint="eastAsia" w:ascii="宋体" w:hAnsi="宋体" w:cs="宋体"/>
          <w:sz w:val="24"/>
          <w:szCs w:val="24"/>
          <w:lang w:val="en-US" w:eastAsia="zh-CN"/>
        </w:rPr>
        <w:t>支持用户选择月报周期，系统自动获取该周期内的工作周报信息生成月报，支持用户对生成后的工作月报内容进行修改编辑。</w:t>
      </w:r>
    </w:p>
    <w:p>
      <w:pPr>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cs="宋体"/>
          <w:b/>
          <w:bCs/>
          <w:sz w:val="24"/>
          <w:szCs w:val="24"/>
          <w:lang w:val="en-US" w:eastAsia="zh-CN"/>
        </w:rPr>
        <w:t>工作周报</w:t>
      </w:r>
      <w:r>
        <w:rPr>
          <w:rFonts w:hint="eastAsia" w:ascii="宋体" w:hAnsi="宋体" w:eastAsia="宋体" w:cs="宋体"/>
          <w:b/>
          <w:bCs/>
          <w:sz w:val="24"/>
          <w:szCs w:val="24"/>
        </w:rPr>
        <w:t>编辑</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提供</w:t>
      </w:r>
      <w:r>
        <w:rPr>
          <w:rFonts w:hint="eastAsia" w:ascii="宋体" w:hAnsi="宋体" w:cs="宋体"/>
          <w:sz w:val="24"/>
          <w:szCs w:val="24"/>
          <w:lang w:val="en-US" w:eastAsia="zh-CN"/>
        </w:rPr>
        <w:t>工作月报的</w:t>
      </w:r>
      <w:r>
        <w:rPr>
          <w:rFonts w:hint="eastAsia" w:ascii="宋体" w:hAnsi="宋体" w:eastAsia="宋体" w:cs="宋体"/>
          <w:sz w:val="24"/>
          <w:szCs w:val="24"/>
        </w:rPr>
        <w:t>编辑功能</w:t>
      </w:r>
      <w:r>
        <w:rPr>
          <w:rFonts w:hint="eastAsia" w:ascii="宋体" w:hAnsi="宋体" w:cs="宋体"/>
          <w:sz w:val="24"/>
          <w:szCs w:val="24"/>
          <w:lang w:eastAsia="zh-CN"/>
        </w:rPr>
        <w:t>，</w:t>
      </w:r>
      <w:r>
        <w:rPr>
          <w:rFonts w:hint="eastAsia" w:ascii="宋体" w:hAnsi="宋体" w:cs="宋体"/>
          <w:sz w:val="24"/>
          <w:szCs w:val="24"/>
          <w:lang w:val="en-US" w:eastAsia="zh-CN"/>
        </w:rPr>
        <w:t>用户仅能编辑处于未提交状态的工作月报。</w:t>
      </w:r>
    </w:p>
    <w:p>
      <w:pPr>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cs="宋体"/>
          <w:b/>
          <w:bCs/>
          <w:sz w:val="24"/>
          <w:szCs w:val="24"/>
          <w:lang w:val="en-US" w:eastAsia="zh-CN"/>
        </w:rPr>
        <w:t>工作月报</w:t>
      </w:r>
      <w:r>
        <w:rPr>
          <w:rFonts w:hint="eastAsia" w:ascii="宋体" w:hAnsi="宋体" w:eastAsia="宋体" w:cs="宋体"/>
          <w:b/>
          <w:bCs/>
          <w:sz w:val="24"/>
          <w:szCs w:val="24"/>
        </w:rPr>
        <w:t>删除</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提供</w:t>
      </w:r>
      <w:r>
        <w:rPr>
          <w:rFonts w:hint="eastAsia" w:ascii="宋体" w:hAnsi="宋体" w:cs="宋体"/>
          <w:sz w:val="24"/>
          <w:szCs w:val="24"/>
          <w:lang w:val="en-US" w:eastAsia="zh-CN"/>
        </w:rPr>
        <w:t>工作月报</w:t>
      </w:r>
      <w:r>
        <w:rPr>
          <w:rFonts w:hint="eastAsia" w:ascii="宋体" w:hAnsi="宋体" w:eastAsia="宋体" w:cs="宋体"/>
          <w:sz w:val="24"/>
          <w:szCs w:val="24"/>
        </w:rPr>
        <w:t>的删除功能</w:t>
      </w:r>
      <w:r>
        <w:rPr>
          <w:rFonts w:hint="eastAsia" w:ascii="宋体" w:hAnsi="宋体" w:cs="宋体"/>
          <w:sz w:val="24"/>
          <w:szCs w:val="24"/>
          <w:lang w:eastAsia="zh-CN"/>
        </w:rPr>
        <w:t>，</w:t>
      </w:r>
      <w:r>
        <w:rPr>
          <w:rFonts w:hint="eastAsia" w:ascii="宋体" w:hAnsi="宋体" w:cs="宋体"/>
          <w:sz w:val="24"/>
          <w:szCs w:val="24"/>
          <w:lang w:val="en-US" w:eastAsia="zh-CN"/>
        </w:rPr>
        <w:t>用户仅能删除处于未提交状态的工作月报。</w:t>
      </w:r>
    </w:p>
    <w:p>
      <w:pPr>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562"/>
        <w:textAlignment w:val="auto"/>
        <w:rPr>
          <w:rFonts w:hint="eastAsia" w:ascii="宋体" w:hAnsi="宋体" w:eastAsia="宋体" w:cs="宋体"/>
          <w:b/>
          <w:bCs/>
          <w:sz w:val="24"/>
          <w:szCs w:val="24"/>
        </w:rPr>
      </w:pPr>
      <w:r>
        <w:rPr>
          <w:rFonts w:hint="eastAsia" w:ascii="宋体" w:hAnsi="宋体" w:cs="宋体"/>
          <w:b/>
          <w:bCs/>
          <w:sz w:val="24"/>
          <w:szCs w:val="24"/>
          <w:lang w:val="en-US" w:eastAsia="zh-CN"/>
        </w:rPr>
        <w:t>工作月报</w:t>
      </w:r>
      <w:r>
        <w:rPr>
          <w:rFonts w:hint="eastAsia" w:ascii="宋体" w:hAnsi="宋体" w:eastAsia="宋体" w:cs="宋体"/>
          <w:b/>
          <w:bCs/>
          <w:sz w:val="24"/>
          <w:szCs w:val="24"/>
        </w:rPr>
        <w:t>查询</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提供</w:t>
      </w:r>
      <w:r>
        <w:rPr>
          <w:rFonts w:hint="eastAsia" w:ascii="宋体" w:hAnsi="宋体" w:cs="宋体"/>
          <w:sz w:val="24"/>
          <w:szCs w:val="24"/>
          <w:lang w:val="en-US" w:eastAsia="zh-CN"/>
        </w:rPr>
        <w:t>工作月报信息查询功能，支持</w:t>
      </w:r>
      <w:r>
        <w:rPr>
          <w:rFonts w:hint="eastAsia" w:ascii="宋体" w:hAnsi="宋体" w:eastAsia="宋体" w:cs="宋体"/>
          <w:sz w:val="24"/>
          <w:szCs w:val="24"/>
        </w:rPr>
        <w:t>按多种筛选条件</w:t>
      </w:r>
      <w:r>
        <w:rPr>
          <w:rFonts w:hint="eastAsia" w:ascii="宋体" w:hAnsi="宋体" w:cs="宋体"/>
          <w:sz w:val="24"/>
          <w:szCs w:val="24"/>
          <w:lang w:eastAsia="zh-CN"/>
        </w:rPr>
        <w:t>（</w:t>
      </w:r>
      <w:r>
        <w:rPr>
          <w:rFonts w:hint="eastAsia" w:ascii="宋体" w:hAnsi="宋体" w:cs="宋体"/>
          <w:sz w:val="24"/>
          <w:szCs w:val="24"/>
          <w:lang w:val="en-US" w:eastAsia="zh-CN"/>
        </w:rPr>
        <w:t>工号、姓名、日期、关键字等）</w:t>
      </w:r>
      <w:r>
        <w:rPr>
          <w:rFonts w:hint="eastAsia" w:ascii="宋体" w:hAnsi="宋体" w:eastAsia="宋体" w:cs="宋体"/>
          <w:sz w:val="24"/>
          <w:szCs w:val="24"/>
        </w:rPr>
        <w:t>查询</w:t>
      </w:r>
      <w:r>
        <w:rPr>
          <w:rFonts w:hint="eastAsia" w:ascii="宋体" w:hAnsi="宋体" w:cs="宋体"/>
          <w:sz w:val="24"/>
          <w:szCs w:val="24"/>
          <w:lang w:val="en-US" w:eastAsia="zh-CN"/>
        </w:rPr>
        <w:t>工作月报信息</w:t>
      </w:r>
      <w:r>
        <w:rPr>
          <w:rFonts w:hint="eastAsia" w:ascii="宋体" w:hAnsi="宋体" w:eastAsia="宋体" w:cs="宋体"/>
          <w:sz w:val="24"/>
          <w:szCs w:val="24"/>
        </w:rPr>
        <w:t>。</w:t>
      </w: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数据需求</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3"/>
        <w:gridCol w:w="7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2"/>
            <w:tcBorders>
              <w:top w:val="single" w:color="auto" w:sz="4" w:space="0"/>
              <w:left w:val="single" w:color="auto" w:sz="4" w:space="0"/>
              <w:bottom w:val="single" w:color="auto" w:sz="4" w:space="0"/>
              <w:right w:val="single" w:color="auto" w:sz="4" w:space="0"/>
            </w:tcBorders>
            <w:shd w:val="clear" w:color="auto" w:fill="EEECE1"/>
            <w:vAlign w:val="center"/>
          </w:tcPr>
          <w:p>
            <w:pPr>
              <w:spacing w:line="240" w:lineRule="auto"/>
              <w:ind w:firstLine="0" w:firstLineChars="0"/>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工作月报数据表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9"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240" w:lineRule="auto"/>
              <w:ind w:firstLine="0" w:firstLineChars="0"/>
              <w:rPr>
                <w:rFonts w:ascii="仿宋" w:hAnsi="仿宋" w:cs="仿宋"/>
                <w:color w:val="000000"/>
                <w:sz w:val="21"/>
                <w:szCs w:val="21"/>
              </w:rPr>
            </w:pPr>
            <w:r>
              <w:rPr>
                <w:rFonts w:hint="eastAsia" w:ascii="仿宋" w:hAnsi="仿宋" w:cs="仿宋"/>
                <w:color w:val="000000"/>
                <w:sz w:val="21"/>
                <w:szCs w:val="21"/>
              </w:rPr>
              <w:t>字段名称</w:t>
            </w:r>
          </w:p>
        </w:tc>
        <w:tc>
          <w:tcPr>
            <w:tcW w:w="4070" w:type="pct"/>
            <w:tcBorders>
              <w:top w:val="single" w:color="auto" w:sz="4" w:space="0"/>
              <w:left w:val="single" w:color="auto" w:sz="4" w:space="0"/>
              <w:bottom w:val="single" w:color="auto" w:sz="4" w:space="0"/>
              <w:right w:val="single" w:color="auto" w:sz="4" w:space="0"/>
            </w:tcBorders>
            <w:shd w:val="clear" w:color="auto" w:fill="EEECE1"/>
            <w:vAlign w:val="center"/>
          </w:tcPr>
          <w:p>
            <w:pPr>
              <w:spacing w:line="240" w:lineRule="auto"/>
              <w:ind w:firstLine="0" w:firstLineChars="0"/>
              <w:rPr>
                <w:rFonts w:hint="eastAsia" w:ascii="仿宋" w:hAnsi="仿宋" w:eastAsia="宋体" w:cs="仿宋"/>
                <w:color w:val="000000"/>
                <w:sz w:val="21"/>
                <w:szCs w:val="21"/>
                <w:lang w:eastAsia="zh-CN"/>
              </w:rPr>
            </w:pPr>
            <w:r>
              <w:rPr>
                <w:rFonts w:hint="eastAsia" w:ascii="仿宋" w:hAnsi="仿宋" w:cs="仿宋"/>
                <w:color w:val="000000"/>
                <w:sz w:val="21"/>
                <w:szCs w:val="21"/>
                <w:lang w:val="en-US"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月份</w:t>
            </w:r>
          </w:p>
        </w:tc>
        <w:tc>
          <w:tcPr>
            <w:tcW w:w="407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显示月报日期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9"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本月工作完成情况</w:t>
            </w:r>
          </w:p>
        </w:tc>
        <w:tc>
          <w:tcPr>
            <w:tcW w:w="4070" w:type="pct"/>
            <w:tcBorders>
              <w:top w:val="single" w:color="auto" w:sz="4" w:space="0"/>
              <w:left w:val="single" w:color="auto" w:sz="4" w:space="0"/>
              <w:bottom w:val="single" w:color="auto" w:sz="4" w:space="0"/>
              <w:right w:val="single" w:color="auto" w:sz="4" w:space="0"/>
            </w:tcBorders>
            <w:shd w:val="clear" w:color="auto" w:fill="FFFFFF"/>
            <w:vAlign w:val="center"/>
          </w:tcPr>
          <w:p>
            <w:pPr>
              <w:spacing w:line="240" w:lineRule="auto"/>
              <w:ind w:firstLine="0" w:firstLineChars="0"/>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本月工作完成情况信息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提交人工号</w:t>
            </w:r>
          </w:p>
        </w:tc>
        <w:tc>
          <w:tcPr>
            <w:tcW w:w="407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显示周报提交人工号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提交人姓名</w:t>
            </w:r>
          </w:p>
        </w:tc>
        <w:tc>
          <w:tcPr>
            <w:tcW w:w="407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hint="default" w:ascii="仿宋" w:hAnsi="仿宋" w:eastAsia="宋体" w:cs="仿宋"/>
                <w:color w:val="000000"/>
                <w:sz w:val="21"/>
                <w:szCs w:val="21"/>
                <w:lang w:val="en-US" w:eastAsia="zh-CN"/>
              </w:rPr>
            </w:pPr>
            <w:r>
              <w:rPr>
                <w:rFonts w:hint="eastAsia" w:ascii="仿宋" w:hAnsi="仿宋" w:cs="仿宋"/>
                <w:color w:val="000000"/>
                <w:sz w:val="21"/>
                <w:szCs w:val="21"/>
                <w:lang w:val="en-US" w:eastAsia="zh-CN"/>
              </w:rPr>
              <w:t>显示周报提交人姓名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下月工作计划</w:t>
            </w:r>
          </w:p>
        </w:tc>
        <w:tc>
          <w:tcPr>
            <w:tcW w:w="407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显示下月工作计划内容信息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29"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left"/>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备注</w:t>
            </w:r>
          </w:p>
        </w:tc>
        <w:tc>
          <w:tcPr>
            <w:tcW w:w="4070"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hint="default" w:ascii="仿宋" w:hAnsi="仿宋" w:cs="仿宋"/>
                <w:color w:val="000000"/>
                <w:sz w:val="21"/>
                <w:szCs w:val="21"/>
                <w:lang w:val="en-US" w:eastAsia="zh-CN"/>
              </w:rPr>
            </w:pPr>
            <w:r>
              <w:rPr>
                <w:rFonts w:hint="eastAsia" w:ascii="仿宋" w:hAnsi="仿宋" w:cs="仿宋"/>
                <w:color w:val="000000"/>
                <w:sz w:val="21"/>
                <w:szCs w:val="21"/>
                <w:lang w:val="en-US" w:eastAsia="zh-CN"/>
              </w:rPr>
              <w:t>显示备注信息</w:t>
            </w:r>
          </w:p>
        </w:tc>
      </w:tr>
    </w:tbl>
    <w:p>
      <w:pPr>
        <w:pStyle w:val="5"/>
        <w:rPr>
          <w:rFonts w:hint="eastAsia"/>
          <w:lang w:val="en-US" w:eastAsia="zh-CN"/>
        </w:rPr>
      </w:pPr>
    </w:p>
    <w:p>
      <w:pPr>
        <w:pStyle w:val="8"/>
        <w:rPr>
          <w:rFonts w:hint="eastAsia" w:ascii="Times New Roman" w:hAnsi="Times New Roman" w:eastAsia="宋体" w:cs="Times New Roman"/>
          <w:kern w:val="2"/>
          <w:sz w:val="21"/>
          <w:szCs w:val="21"/>
          <w:lang w:val="en-US" w:eastAsia="zh-CN" w:bidi="ar-SA"/>
        </w:rPr>
      </w:pPr>
      <w:r>
        <w:rPr>
          <w:rFonts w:hint="eastAsia" w:cs="Times New Roman"/>
          <w:kern w:val="2"/>
          <w:sz w:val="21"/>
          <w:szCs w:val="21"/>
          <w:lang w:val="en-US" w:eastAsia="zh-CN" w:bidi="ar-SA"/>
        </w:rPr>
        <w:t>权限需求</w:t>
      </w:r>
    </w:p>
    <w:tbl>
      <w:tblPr>
        <w:tblStyle w:val="34"/>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843"/>
        <w:gridCol w:w="1701"/>
        <w:gridCol w:w="1984"/>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序号</w:t>
            </w:r>
          </w:p>
        </w:tc>
        <w:tc>
          <w:tcPr>
            <w:tcW w:w="1843" w:type="dxa"/>
            <w:shd w:val="clear" w:color="auto" w:fill="D9D9D9"/>
          </w:tcPr>
          <w:p>
            <w:pPr>
              <w:spacing w:line="360" w:lineRule="auto"/>
              <w:rPr>
                <w:rFonts w:ascii="宋体" w:hAnsi="宋体" w:eastAsia="Times New Roman" w:cs="宋体"/>
                <w:b/>
                <w:bCs/>
                <w:sz w:val="21"/>
                <w:szCs w:val="21"/>
              </w:rPr>
            </w:pPr>
            <w:r>
              <w:rPr>
                <w:rFonts w:hint="eastAsia" w:ascii="宋体" w:hAnsi="宋体" w:eastAsia="宋体" w:cs="宋体"/>
                <w:b/>
                <w:bCs/>
                <w:sz w:val="21"/>
                <w:szCs w:val="21"/>
              </w:rPr>
              <w:t>模块</w:t>
            </w:r>
          </w:p>
        </w:tc>
        <w:tc>
          <w:tcPr>
            <w:tcW w:w="1701" w:type="dxa"/>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菜单权限</w:t>
            </w:r>
          </w:p>
        </w:tc>
        <w:tc>
          <w:tcPr>
            <w:tcW w:w="1984" w:type="dxa"/>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按钮权限</w:t>
            </w:r>
          </w:p>
        </w:tc>
        <w:tc>
          <w:tcPr>
            <w:tcW w:w="2693" w:type="dxa"/>
            <w:shd w:val="clear" w:color="auto" w:fill="D9D9D9"/>
          </w:tcPr>
          <w:p>
            <w:pPr>
              <w:spacing w:line="360" w:lineRule="auto"/>
              <w:rPr>
                <w:rFonts w:ascii="Times New Roman" w:hAnsi="Times New Roman" w:eastAsia="Times New Roman"/>
                <w:b/>
                <w:bCs/>
                <w:sz w:val="21"/>
                <w:szCs w:val="21"/>
              </w:rPr>
            </w:pPr>
            <w:r>
              <w:rPr>
                <w:rFonts w:hint="eastAsia" w:ascii="宋体" w:hAnsi="宋体" w:eastAsia="宋体" w:cs="宋体"/>
                <w:b/>
                <w:bCs/>
                <w:sz w:val="21"/>
                <w:szCs w:val="21"/>
              </w:rPr>
              <w:t>数据权限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ascii="Times New Roman" w:hAnsi="Times New Roman"/>
                <w:sz w:val="21"/>
                <w:szCs w:val="21"/>
              </w:rPr>
            </w:pPr>
            <w:r>
              <w:rPr>
                <w:rFonts w:hint="eastAsia" w:ascii="Times New Roman" w:hAnsi="Times New Roman"/>
                <w:sz w:val="21"/>
                <w:szCs w:val="21"/>
              </w:rPr>
              <w:t>1</w:t>
            </w:r>
          </w:p>
        </w:tc>
        <w:tc>
          <w:tcPr>
            <w:tcW w:w="1843"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工作月报新增</w:t>
            </w:r>
          </w:p>
        </w:tc>
        <w:tc>
          <w:tcPr>
            <w:tcW w:w="1701" w:type="dxa"/>
          </w:tcPr>
          <w:p>
            <w:pPr>
              <w:spacing w:line="360" w:lineRule="auto"/>
              <w:rPr>
                <w:rFonts w:ascii="Times New Roman" w:hAnsi="Times New Roman"/>
                <w:sz w:val="21"/>
                <w:szCs w:val="21"/>
              </w:rPr>
            </w:pPr>
            <w:r>
              <w:rPr>
                <w:rFonts w:hint="eastAsia" w:ascii="Times New Roman" w:hAnsi="Times New Roman"/>
                <w:sz w:val="21"/>
                <w:szCs w:val="21"/>
              </w:rPr>
              <w:t>按角色授权</w:t>
            </w:r>
          </w:p>
        </w:tc>
        <w:tc>
          <w:tcPr>
            <w:tcW w:w="1984" w:type="dxa"/>
          </w:tcPr>
          <w:p>
            <w:pPr>
              <w:spacing w:line="360" w:lineRule="auto"/>
              <w:rPr>
                <w:rFonts w:ascii="Times New Roman" w:hAnsi="Times New Roman"/>
                <w:sz w:val="21"/>
                <w:szCs w:val="21"/>
              </w:rPr>
            </w:pPr>
            <w:r>
              <w:rPr>
                <w:rFonts w:hint="eastAsia" w:ascii="Times New Roman" w:hAnsi="Times New Roman"/>
                <w:sz w:val="21"/>
                <w:szCs w:val="21"/>
              </w:rPr>
              <w:t>按角色授权</w:t>
            </w:r>
          </w:p>
        </w:tc>
        <w:tc>
          <w:tcPr>
            <w:tcW w:w="2693"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eastAsia" w:ascii="Times New Roman" w:hAnsi="Times New Roman" w:eastAsia="宋体"/>
                <w:sz w:val="21"/>
                <w:szCs w:val="21"/>
                <w:lang w:val="en-US" w:eastAsia="zh-CN"/>
              </w:rPr>
            </w:pPr>
            <w:r>
              <w:rPr>
                <w:rFonts w:hint="eastAsia" w:ascii="Times New Roman" w:hAnsi="Times New Roman"/>
                <w:sz w:val="21"/>
                <w:szCs w:val="21"/>
                <w:lang w:val="en-US" w:eastAsia="zh-CN"/>
              </w:rPr>
              <w:t>2</w:t>
            </w:r>
          </w:p>
        </w:tc>
        <w:tc>
          <w:tcPr>
            <w:tcW w:w="1843"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工作月报编辑</w:t>
            </w:r>
          </w:p>
        </w:tc>
        <w:tc>
          <w:tcPr>
            <w:tcW w:w="1701"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按角色授权</w:t>
            </w:r>
          </w:p>
        </w:tc>
        <w:tc>
          <w:tcPr>
            <w:tcW w:w="1984"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lang w:val="en-US" w:eastAsia="zh-CN"/>
              </w:rPr>
              <w:t>按角色授权</w:t>
            </w:r>
          </w:p>
        </w:tc>
        <w:tc>
          <w:tcPr>
            <w:tcW w:w="2693" w:type="dxa"/>
          </w:tcPr>
          <w:p>
            <w:pPr>
              <w:spacing w:line="360" w:lineRule="auto"/>
              <w:rPr>
                <w:rFonts w:hint="default" w:ascii="Times New Roman" w:hAnsi="Times New Roman" w:eastAsia="宋体"/>
                <w:sz w:val="21"/>
                <w:szCs w:val="21"/>
                <w:lang w:val="en-US" w:eastAsia="zh-CN"/>
              </w:rPr>
            </w:pPr>
            <w:r>
              <w:rPr>
                <w:rFonts w:hint="eastAsia" w:ascii="Times New Roman" w:hAnsi="Times New Roman"/>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default" w:ascii="Times New Roman" w:hAnsi="Times New Roman"/>
                <w:sz w:val="21"/>
                <w:szCs w:val="21"/>
                <w:lang w:val="en-US" w:eastAsia="zh-CN"/>
              </w:rPr>
            </w:pPr>
            <w:r>
              <w:rPr>
                <w:rFonts w:hint="eastAsia" w:ascii="Times New Roman" w:hAnsi="Times New Roman"/>
                <w:sz w:val="21"/>
                <w:szCs w:val="21"/>
                <w:lang w:val="en-US" w:eastAsia="zh-CN"/>
              </w:rPr>
              <w:t>3</w:t>
            </w:r>
          </w:p>
        </w:tc>
        <w:tc>
          <w:tcPr>
            <w:tcW w:w="1843" w:type="dxa"/>
            <w:vAlign w:val="top"/>
          </w:tcPr>
          <w:p>
            <w:pPr>
              <w:spacing w:line="360" w:lineRule="auto"/>
              <w:rPr>
                <w:rFonts w:hint="default" w:ascii="Times New Roman" w:hAnsi="Times New Roman" w:eastAsia="宋体" w:cs="Calibri"/>
                <w:kern w:val="2"/>
                <w:sz w:val="21"/>
                <w:szCs w:val="21"/>
                <w:lang w:val="en-US" w:eastAsia="zh-CN" w:bidi="ar-SA"/>
              </w:rPr>
            </w:pPr>
            <w:r>
              <w:rPr>
                <w:rFonts w:hint="eastAsia" w:ascii="Times New Roman" w:hAnsi="Times New Roman"/>
                <w:sz w:val="21"/>
                <w:szCs w:val="21"/>
                <w:lang w:val="en-US" w:eastAsia="zh-CN"/>
              </w:rPr>
              <w:t>工作月报删除</w:t>
            </w:r>
          </w:p>
        </w:tc>
        <w:tc>
          <w:tcPr>
            <w:tcW w:w="1701"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lang w:val="en-US" w:eastAsia="zh-CN"/>
              </w:rPr>
              <w:t>按角色授权</w:t>
            </w:r>
          </w:p>
        </w:tc>
        <w:tc>
          <w:tcPr>
            <w:tcW w:w="1984"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lang w:val="en-US" w:eastAsia="zh-CN"/>
              </w:rPr>
              <w:t>按角色授权</w:t>
            </w:r>
          </w:p>
        </w:tc>
        <w:tc>
          <w:tcPr>
            <w:tcW w:w="2693"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rPr>
              <w:t>按角色授权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pPr>
              <w:spacing w:line="360" w:lineRule="auto"/>
              <w:rPr>
                <w:rFonts w:hint="default" w:ascii="Times New Roman" w:hAnsi="Times New Roman"/>
                <w:sz w:val="21"/>
                <w:szCs w:val="21"/>
                <w:lang w:val="en-US" w:eastAsia="zh-CN"/>
              </w:rPr>
            </w:pPr>
            <w:r>
              <w:rPr>
                <w:rFonts w:hint="eastAsia" w:ascii="Times New Roman" w:hAnsi="Times New Roman"/>
                <w:sz w:val="21"/>
                <w:szCs w:val="21"/>
                <w:lang w:val="en-US" w:eastAsia="zh-CN"/>
              </w:rPr>
              <w:t>4</w:t>
            </w:r>
          </w:p>
        </w:tc>
        <w:tc>
          <w:tcPr>
            <w:tcW w:w="1843"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lang w:val="en-US" w:eastAsia="zh-CN"/>
              </w:rPr>
              <w:t>工作月报查看</w:t>
            </w:r>
          </w:p>
        </w:tc>
        <w:tc>
          <w:tcPr>
            <w:tcW w:w="1701"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lang w:val="en-US" w:eastAsia="zh-CN"/>
              </w:rPr>
              <w:t>按角色授权</w:t>
            </w:r>
          </w:p>
        </w:tc>
        <w:tc>
          <w:tcPr>
            <w:tcW w:w="1984"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lang w:val="en-US" w:eastAsia="zh-CN"/>
              </w:rPr>
              <w:t>按角色授权</w:t>
            </w:r>
          </w:p>
        </w:tc>
        <w:tc>
          <w:tcPr>
            <w:tcW w:w="2693" w:type="dxa"/>
            <w:vAlign w:val="top"/>
          </w:tcPr>
          <w:p>
            <w:pPr>
              <w:spacing w:line="360" w:lineRule="auto"/>
              <w:rPr>
                <w:rFonts w:hint="eastAsia" w:ascii="Times New Roman" w:hAnsi="Times New Roman" w:eastAsia="宋体" w:cs="Calibri"/>
                <w:kern w:val="2"/>
                <w:sz w:val="21"/>
                <w:szCs w:val="21"/>
                <w:lang w:val="en-US" w:eastAsia="zh-CN" w:bidi="ar-SA"/>
              </w:rPr>
            </w:pPr>
            <w:r>
              <w:rPr>
                <w:rFonts w:hint="eastAsia" w:ascii="Times New Roman" w:hAnsi="Times New Roman"/>
                <w:sz w:val="21"/>
                <w:szCs w:val="21"/>
              </w:rPr>
              <w:t>按角色授权</w:t>
            </w:r>
          </w:p>
        </w:tc>
      </w:tr>
    </w:tbl>
    <w:p>
      <w:pPr>
        <w:pStyle w:val="5"/>
        <w:rPr>
          <w:rFonts w:hint="eastAsia"/>
          <w:lang w:val="en-US" w:eastAsia="zh-CN"/>
        </w:rPr>
      </w:pPr>
    </w:p>
    <w:p>
      <w:pPr>
        <w:pStyle w:val="4"/>
      </w:pPr>
      <w:r>
        <w:rPr>
          <w:rFonts w:hint="eastAsia"/>
        </w:rPr>
        <w:t>非功能需求分析</w:t>
      </w:r>
      <w:bookmarkEnd w:id="70"/>
    </w:p>
    <w:p>
      <w:pPr>
        <w:pStyle w:val="6"/>
        <w:rPr>
          <w:rFonts w:cs="宋体" w:asciiTheme="minorEastAsia" w:hAnsiTheme="minorEastAsia" w:eastAsiaTheme="minorEastAsia"/>
          <w:sz w:val="24"/>
          <w:szCs w:val="24"/>
        </w:rPr>
      </w:pPr>
      <w:bookmarkStart w:id="71" w:name="_Toc17454"/>
      <w:r>
        <w:rPr>
          <w:rFonts w:hint="eastAsia" w:cs="宋体" w:asciiTheme="minorEastAsia" w:hAnsiTheme="minorEastAsia" w:eastAsiaTheme="minorEastAsia"/>
          <w:sz w:val="24"/>
          <w:szCs w:val="24"/>
        </w:rPr>
        <w:t>用户界面需求</w:t>
      </w:r>
      <w:bookmarkEnd w:id="71"/>
    </w:p>
    <w:p>
      <w:pPr>
        <w:pStyle w:val="17"/>
        <w:spacing w:line="560" w:lineRule="exact"/>
        <w:ind w:firstLine="480" w:firstLineChars="200"/>
        <w:rPr>
          <w:rFonts w:hint="eastAsia" w:ascii="宋体" w:hAnsi="宋体" w:cs="宋体"/>
          <w:sz w:val="24"/>
          <w:szCs w:val="24"/>
        </w:rPr>
      </w:pPr>
      <w:r>
        <w:rPr>
          <w:rFonts w:hint="eastAsia" w:ascii="宋体" w:hAnsi="宋体" w:cs="宋体"/>
          <w:sz w:val="24"/>
          <w:szCs w:val="24"/>
        </w:rPr>
        <w:t>系统提供统一登录界面，根据登录人权限和角色区别，进入不同操作界面。</w:t>
      </w:r>
    </w:p>
    <w:p>
      <w:pPr>
        <w:pStyle w:val="17"/>
        <w:spacing w:line="560" w:lineRule="exact"/>
        <w:ind w:firstLine="480" w:firstLineChars="200"/>
        <w:rPr>
          <w:rFonts w:hint="eastAsia" w:ascii="宋体" w:hAnsi="宋体" w:cs="宋体"/>
          <w:sz w:val="24"/>
          <w:szCs w:val="24"/>
        </w:rPr>
      </w:pPr>
      <w:r>
        <w:rPr>
          <w:rFonts w:hint="eastAsia" w:ascii="宋体" w:hAnsi="宋体" w:cs="宋体"/>
          <w:sz w:val="24"/>
          <w:szCs w:val="24"/>
        </w:rPr>
        <w:t>系统人机界面友好、操作便捷，保证用户主观上对系统实际应用时的良好体验感，支持网页版、移动应用版、PC应用版的用户登录及使用，且数据互通。</w:t>
      </w:r>
    </w:p>
    <w:p>
      <w:pPr>
        <w:pStyle w:val="17"/>
        <w:spacing w:line="560" w:lineRule="exact"/>
        <w:ind w:firstLine="480" w:firstLineChars="200"/>
        <w:rPr>
          <w:rFonts w:hint="eastAsia" w:ascii="宋体" w:hAnsi="宋体" w:cs="宋体"/>
          <w:sz w:val="24"/>
          <w:szCs w:val="24"/>
        </w:rPr>
      </w:pPr>
      <w:r>
        <w:rPr>
          <w:rFonts w:hint="eastAsia" w:ascii="宋体" w:hAnsi="宋体" w:cs="宋体"/>
          <w:sz w:val="24"/>
          <w:szCs w:val="24"/>
        </w:rPr>
        <w:t>系统提供友好的系统帮助界面，提供清晰的流程图，能够查看流程流转情况。普通用户的提示或报错信息，使用友好的提示方式。</w:t>
      </w:r>
    </w:p>
    <w:p>
      <w:pPr>
        <w:pStyle w:val="17"/>
        <w:spacing w:line="560" w:lineRule="exact"/>
        <w:ind w:firstLine="480" w:firstLineChars="200"/>
        <w:rPr>
          <w:rFonts w:hint="eastAsia" w:ascii="宋体" w:hAnsi="宋体" w:cs="宋体"/>
          <w:sz w:val="24"/>
          <w:szCs w:val="24"/>
        </w:rPr>
      </w:pPr>
      <w:r>
        <w:rPr>
          <w:rFonts w:hint="eastAsia" w:ascii="宋体" w:hAnsi="宋体" w:cs="宋体"/>
          <w:sz w:val="24"/>
          <w:szCs w:val="24"/>
        </w:rPr>
        <w:t>系统</w:t>
      </w:r>
      <w:r>
        <w:rPr>
          <w:rFonts w:hint="eastAsia" w:ascii="宋体" w:hAnsi="宋体" w:cs="宋体"/>
          <w:sz w:val="24"/>
          <w:szCs w:val="24"/>
          <w:lang w:val="en-US" w:eastAsia="zh-CN"/>
        </w:rPr>
        <w:t>UI设计风格符合</w:t>
      </w:r>
      <w:r>
        <w:rPr>
          <w:rFonts w:hint="eastAsia" w:ascii="宋体" w:hAnsi="宋体" w:cs="宋体"/>
          <w:sz w:val="24"/>
          <w:szCs w:val="24"/>
        </w:rPr>
        <w:t>市铁路集团的</w:t>
      </w:r>
      <w:r>
        <w:rPr>
          <w:rFonts w:hint="eastAsia" w:ascii="宋体" w:hAnsi="宋体" w:cs="宋体"/>
          <w:sz w:val="24"/>
          <w:szCs w:val="24"/>
          <w:lang w:val="en-US" w:eastAsia="zh-CN"/>
        </w:rPr>
        <w:t>企业文化特色</w:t>
      </w:r>
      <w:r>
        <w:rPr>
          <w:rFonts w:hint="eastAsia" w:ascii="宋体" w:hAnsi="宋体" w:cs="宋体"/>
          <w:sz w:val="24"/>
          <w:szCs w:val="24"/>
        </w:rPr>
        <w:t>，整体风格简洁大方，功能界面易学易用。</w:t>
      </w:r>
    </w:p>
    <w:tbl>
      <w:tblPr>
        <w:tblStyle w:val="33"/>
        <w:tblW w:w="93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4"/>
        <w:gridCol w:w="7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04" w:type="dxa"/>
            <w:tcBorders>
              <w:bottom w:val="single" w:color="auto" w:sz="4" w:space="0"/>
            </w:tcBorders>
            <w:shd w:val="clear" w:color="auto" w:fill="EEECE1"/>
            <w:vAlign w:val="center"/>
          </w:tcPr>
          <w:p>
            <w:pPr>
              <w:spacing w:line="240" w:lineRule="auto"/>
              <w:ind w:firstLine="0" w:firstLineChars="0"/>
              <w:rPr>
                <w:rFonts w:ascii="仿宋" w:hAnsi="仿宋" w:cs="仿宋"/>
                <w:color w:val="000000"/>
                <w:sz w:val="24"/>
                <w:szCs w:val="24"/>
              </w:rPr>
            </w:pPr>
            <w:r>
              <w:rPr>
                <w:rFonts w:hint="eastAsia" w:ascii="仿宋" w:hAnsi="仿宋" w:cs="仿宋"/>
                <w:color w:val="000000"/>
                <w:sz w:val="24"/>
                <w:szCs w:val="24"/>
              </w:rPr>
              <w:t>需求名称</w:t>
            </w:r>
          </w:p>
        </w:tc>
        <w:tc>
          <w:tcPr>
            <w:tcW w:w="7446" w:type="dxa"/>
            <w:shd w:val="clear" w:color="auto" w:fill="EEECE1"/>
            <w:vAlign w:val="center"/>
          </w:tcPr>
          <w:p>
            <w:pPr>
              <w:spacing w:line="240" w:lineRule="auto"/>
              <w:ind w:firstLine="0" w:firstLineChars="0"/>
              <w:rPr>
                <w:rFonts w:ascii="仿宋" w:hAnsi="仿宋" w:cs="仿宋"/>
                <w:color w:val="000000"/>
                <w:sz w:val="24"/>
                <w:szCs w:val="24"/>
              </w:rPr>
            </w:pPr>
            <w:r>
              <w:rPr>
                <w:rFonts w:hint="eastAsia" w:ascii="仿宋" w:hAnsi="仿宋" w:cs="仿宋"/>
                <w:color w:val="000000"/>
                <w:sz w:val="24"/>
                <w:szCs w:val="24"/>
              </w:rPr>
              <w:t>详细要求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04" w:type="dxa"/>
            <w:shd w:val="clear" w:color="auto" w:fill="EEECE1"/>
            <w:vAlign w:val="center"/>
          </w:tcPr>
          <w:p>
            <w:pPr>
              <w:spacing w:line="240" w:lineRule="auto"/>
              <w:ind w:firstLine="0" w:firstLineChars="0"/>
              <w:rPr>
                <w:rFonts w:ascii="仿宋" w:hAnsi="仿宋" w:cs="仿宋"/>
                <w:color w:val="000000"/>
                <w:sz w:val="24"/>
                <w:szCs w:val="24"/>
              </w:rPr>
            </w:pPr>
            <w:r>
              <w:rPr>
                <w:rFonts w:hint="eastAsia" w:ascii="仿宋" w:hAnsi="仿宋" w:cs="仿宋"/>
                <w:color w:val="000000"/>
                <w:sz w:val="24"/>
                <w:szCs w:val="24"/>
              </w:rPr>
              <w:t>母窗体位置</w:t>
            </w:r>
          </w:p>
        </w:tc>
        <w:tc>
          <w:tcPr>
            <w:tcW w:w="7446" w:type="dxa"/>
            <w:vAlign w:val="center"/>
          </w:tcPr>
          <w:p>
            <w:pPr>
              <w:spacing w:line="240" w:lineRule="auto"/>
              <w:ind w:firstLine="0" w:firstLineChars="0"/>
              <w:rPr>
                <w:rFonts w:ascii="仿宋" w:hAnsi="仿宋" w:cs="仿宋"/>
                <w:color w:val="000000"/>
                <w:sz w:val="24"/>
                <w:szCs w:val="24"/>
              </w:rPr>
            </w:pPr>
            <w:r>
              <w:rPr>
                <w:rFonts w:hint="eastAsia" w:ascii="仿宋" w:hAnsi="仿宋" w:cs="仿宋"/>
                <w:color w:val="000000"/>
                <w:sz w:val="24"/>
                <w:szCs w:val="24"/>
              </w:rPr>
              <w:t>窗体初次启动时在屏幕位置居中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04" w:type="dxa"/>
            <w:shd w:val="clear" w:color="auto" w:fill="EEECE1"/>
            <w:vAlign w:val="center"/>
          </w:tcPr>
          <w:p>
            <w:pPr>
              <w:spacing w:line="240" w:lineRule="auto"/>
              <w:ind w:firstLine="0" w:firstLineChars="0"/>
              <w:rPr>
                <w:rFonts w:ascii="仿宋" w:hAnsi="仿宋" w:cs="仿宋"/>
                <w:color w:val="000000"/>
                <w:sz w:val="24"/>
                <w:szCs w:val="24"/>
              </w:rPr>
            </w:pPr>
            <w:r>
              <w:rPr>
                <w:rFonts w:hint="eastAsia" w:ascii="仿宋" w:hAnsi="仿宋" w:cs="仿宋"/>
                <w:color w:val="000000"/>
                <w:sz w:val="24"/>
                <w:szCs w:val="24"/>
              </w:rPr>
              <w:t>子窗体位置</w:t>
            </w:r>
          </w:p>
        </w:tc>
        <w:tc>
          <w:tcPr>
            <w:tcW w:w="7446" w:type="dxa"/>
            <w:vAlign w:val="center"/>
          </w:tcPr>
          <w:p>
            <w:pPr>
              <w:spacing w:line="240" w:lineRule="auto"/>
              <w:ind w:firstLine="0" w:firstLineChars="0"/>
              <w:rPr>
                <w:rFonts w:ascii="仿宋" w:hAnsi="仿宋" w:cs="仿宋"/>
                <w:color w:val="000000"/>
                <w:sz w:val="24"/>
                <w:szCs w:val="24"/>
              </w:rPr>
            </w:pPr>
            <w:r>
              <w:rPr>
                <w:rFonts w:hint="eastAsia" w:ascii="仿宋" w:hAnsi="仿宋" w:cs="仿宋"/>
                <w:color w:val="000000"/>
                <w:sz w:val="24"/>
                <w:szCs w:val="24"/>
              </w:rPr>
              <w:t>窗体初次启动时在母窗体居中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04" w:type="dxa"/>
            <w:shd w:val="clear" w:color="auto" w:fill="EEECE1"/>
            <w:vAlign w:val="center"/>
          </w:tcPr>
          <w:p>
            <w:pPr>
              <w:spacing w:line="240" w:lineRule="auto"/>
              <w:ind w:firstLine="0" w:firstLineChars="0"/>
              <w:rPr>
                <w:rFonts w:ascii="仿宋" w:hAnsi="仿宋" w:cs="仿宋"/>
                <w:color w:val="000000"/>
                <w:sz w:val="24"/>
                <w:szCs w:val="24"/>
              </w:rPr>
            </w:pPr>
            <w:r>
              <w:rPr>
                <w:rFonts w:hint="eastAsia" w:ascii="仿宋" w:hAnsi="仿宋" w:cs="仿宋"/>
                <w:color w:val="000000"/>
                <w:sz w:val="24"/>
                <w:szCs w:val="24"/>
              </w:rPr>
              <w:t>界面风格</w:t>
            </w:r>
          </w:p>
        </w:tc>
        <w:tc>
          <w:tcPr>
            <w:tcW w:w="7446" w:type="dxa"/>
            <w:vAlign w:val="center"/>
          </w:tcPr>
          <w:p>
            <w:pPr>
              <w:spacing w:line="240" w:lineRule="auto"/>
              <w:ind w:firstLine="0" w:firstLineChars="0"/>
              <w:rPr>
                <w:rFonts w:ascii="仿宋" w:hAnsi="仿宋" w:cs="仿宋"/>
                <w:color w:val="000000"/>
                <w:sz w:val="24"/>
                <w:szCs w:val="24"/>
              </w:rPr>
            </w:pPr>
            <w:r>
              <w:rPr>
                <w:rFonts w:hint="eastAsia" w:ascii="仿宋" w:hAnsi="仿宋" w:cs="仿宋"/>
                <w:color w:val="000000"/>
                <w:sz w:val="24"/>
                <w:szCs w:val="24"/>
              </w:rPr>
              <w:t>界面为 “Metal”观感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04" w:type="dxa"/>
            <w:shd w:val="clear" w:color="auto" w:fill="EEECE1"/>
            <w:vAlign w:val="center"/>
          </w:tcPr>
          <w:p>
            <w:pPr>
              <w:spacing w:line="240" w:lineRule="auto"/>
              <w:ind w:firstLine="0" w:firstLineChars="0"/>
              <w:rPr>
                <w:rFonts w:ascii="仿宋" w:hAnsi="仿宋" w:cs="仿宋"/>
                <w:color w:val="000000"/>
                <w:sz w:val="24"/>
                <w:szCs w:val="24"/>
              </w:rPr>
            </w:pPr>
            <w:r>
              <w:rPr>
                <w:rFonts w:hint="eastAsia" w:ascii="仿宋" w:hAnsi="仿宋" w:cs="仿宋"/>
                <w:color w:val="000000"/>
                <w:sz w:val="24"/>
                <w:szCs w:val="24"/>
              </w:rPr>
              <w:t>界面字体颜色</w:t>
            </w:r>
          </w:p>
        </w:tc>
        <w:tc>
          <w:tcPr>
            <w:tcW w:w="7446" w:type="dxa"/>
            <w:vAlign w:val="center"/>
          </w:tcPr>
          <w:p>
            <w:pPr>
              <w:spacing w:line="240" w:lineRule="auto"/>
              <w:ind w:firstLine="0" w:firstLineChars="0"/>
              <w:rPr>
                <w:rFonts w:hint="default" w:ascii="仿宋" w:hAnsi="仿宋" w:eastAsia="宋体" w:cs="仿宋"/>
                <w:color w:val="000000"/>
                <w:sz w:val="24"/>
                <w:szCs w:val="24"/>
                <w:lang w:val="en-US" w:eastAsia="zh-CN"/>
              </w:rPr>
            </w:pPr>
            <w:r>
              <w:rPr>
                <w:rFonts w:hint="eastAsia" w:ascii="仿宋" w:hAnsi="仿宋" w:cs="仿宋"/>
                <w:color w:val="000000"/>
                <w:sz w:val="24"/>
                <w:szCs w:val="24"/>
                <w:lang w:val="en-US" w:eastAsia="zh-CN"/>
              </w:rPr>
              <w:t>黑</w:t>
            </w:r>
            <w:r>
              <w:rPr>
                <w:rFonts w:hint="eastAsia" w:ascii="仿宋" w:hAnsi="仿宋" w:cs="仿宋"/>
                <w:color w:val="000000"/>
                <w:sz w:val="24"/>
                <w:szCs w:val="24"/>
              </w:rPr>
              <w:t>色为主，灰色为辅</w:t>
            </w:r>
            <w:r>
              <w:rPr>
                <w:rFonts w:hint="eastAsia" w:ascii="仿宋" w:hAnsi="仿宋" w:cs="仿宋"/>
                <w:color w:val="000000"/>
                <w:sz w:val="24"/>
                <w:szCs w:val="24"/>
                <w:lang w:eastAsia="zh-CN"/>
              </w:rPr>
              <w:t>；</w:t>
            </w:r>
            <w:r>
              <w:rPr>
                <w:rFonts w:hint="eastAsia" w:ascii="仿宋" w:hAnsi="仿宋" w:cs="仿宋"/>
                <w:color w:val="000000"/>
                <w:sz w:val="24"/>
                <w:szCs w:val="24"/>
                <w:lang w:val="en-US" w:eastAsia="zh-CN"/>
              </w:rPr>
              <w:t>按钮蓝色为主，红色、黑色为辅</w:t>
            </w:r>
          </w:p>
        </w:tc>
      </w:tr>
    </w:tbl>
    <w:p>
      <w:pPr>
        <w:pStyle w:val="5"/>
      </w:pPr>
    </w:p>
    <w:p>
      <w:pPr>
        <w:pStyle w:val="6"/>
        <w:rPr>
          <w:rFonts w:cs="宋体" w:asciiTheme="minorEastAsia" w:hAnsiTheme="minorEastAsia" w:eastAsiaTheme="minorEastAsia"/>
          <w:sz w:val="24"/>
          <w:szCs w:val="24"/>
        </w:rPr>
      </w:pPr>
      <w:bookmarkStart w:id="72" w:name="_Toc27649"/>
      <w:r>
        <w:rPr>
          <w:rFonts w:hint="eastAsia" w:cs="宋体" w:asciiTheme="minorEastAsia" w:hAnsiTheme="minorEastAsia" w:eastAsiaTheme="minorEastAsia"/>
          <w:sz w:val="24"/>
          <w:szCs w:val="24"/>
        </w:rPr>
        <w:t>运行环境需求</w:t>
      </w:r>
      <w:bookmarkEnd w:id="72"/>
    </w:p>
    <w:p>
      <w:pPr>
        <w:pStyle w:val="17"/>
        <w:spacing w:line="560" w:lineRule="exact"/>
        <w:ind w:firstLine="480" w:firstLineChars="200"/>
        <w:rPr>
          <w:rFonts w:hint="eastAsia" w:ascii="宋体" w:hAnsi="宋体" w:cs="宋体"/>
          <w:sz w:val="24"/>
          <w:szCs w:val="24"/>
        </w:rPr>
      </w:pPr>
      <w:r>
        <w:rPr>
          <w:rFonts w:hint="eastAsia" w:ascii="宋体" w:hAnsi="宋体" w:cs="宋体"/>
          <w:sz w:val="24"/>
          <w:szCs w:val="24"/>
        </w:rPr>
        <w:t>系统采用B/S架构，遵循SOA（面向服务架构）标准、WFMC（国际工作流管理联盟）标准。</w:t>
      </w:r>
    </w:p>
    <w:p>
      <w:pPr>
        <w:pStyle w:val="17"/>
        <w:spacing w:line="560" w:lineRule="exact"/>
        <w:ind w:firstLine="480" w:firstLineChars="200"/>
        <w:rPr>
          <w:rFonts w:hint="eastAsia" w:ascii="宋体" w:hAnsi="宋体" w:cs="宋体"/>
          <w:sz w:val="24"/>
          <w:szCs w:val="24"/>
        </w:rPr>
      </w:pPr>
      <w:r>
        <w:rPr>
          <w:rFonts w:hint="eastAsia" w:ascii="宋体" w:hAnsi="宋体" w:cs="宋体"/>
          <w:sz w:val="24"/>
          <w:szCs w:val="24"/>
        </w:rPr>
        <w:t>系统支持以下的运行环境：</w:t>
      </w:r>
    </w:p>
    <w:p>
      <w:pPr>
        <w:pStyle w:val="17"/>
        <w:spacing w:line="560" w:lineRule="exact"/>
        <w:ind w:firstLine="480" w:firstLineChars="200"/>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1）</w:t>
      </w:r>
      <w:r>
        <w:rPr>
          <w:rFonts w:hint="eastAsia" w:ascii="宋体" w:hAnsi="宋体" w:cs="宋体"/>
          <w:sz w:val="24"/>
          <w:szCs w:val="24"/>
        </w:rPr>
        <w:t>PC端系统：支持Windows7及以上操作系统，移动端支持IOS、Android、HarmonyOS等主流操作系统；</w:t>
      </w:r>
    </w:p>
    <w:p>
      <w:pPr>
        <w:pStyle w:val="17"/>
        <w:spacing w:line="560" w:lineRule="exact"/>
        <w:ind w:firstLine="480" w:firstLineChars="200"/>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2）</w:t>
      </w:r>
      <w:r>
        <w:rPr>
          <w:rFonts w:hint="eastAsia" w:ascii="宋体" w:hAnsi="宋体" w:cs="宋体"/>
          <w:sz w:val="24"/>
          <w:szCs w:val="24"/>
        </w:rPr>
        <w:t>操作系统：支持Windows Server、Redhat Linux、Centos、Ubuntu以及国产主流麒麟、统信等；</w:t>
      </w:r>
    </w:p>
    <w:p>
      <w:pPr>
        <w:pStyle w:val="17"/>
        <w:spacing w:line="560" w:lineRule="exact"/>
        <w:ind w:firstLine="480" w:firstLineChars="200"/>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3）</w:t>
      </w:r>
      <w:r>
        <w:rPr>
          <w:rFonts w:hint="eastAsia" w:ascii="宋体" w:hAnsi="宋体" w:cs="宋体"/>
          <w:sz w:val="24"/>
          <w:szCs w:val="24"/>
        </w:rPr>
        <w:t>中间件：支持Tomcat、Nginx、Jboss、MQ消息队列服务以及国产主流东方通、宝蓝德等；</w:t>
      </w:r>
    </w:p>
    <w:p>
      <w:pPr>
        <w:pStyle w:val="17"/>
        <w:spacing w:line="560" w:lineRule="exact"/>
        <w:ind w:firstLine="480" w:firstLineChars="200"/>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4）</w:t>
      </w:r>
      <w:r>
        <w:rPr>
          <w:rFonts w:hint="eastAsia" w:ascii="宋体" w:hAnsi="宋体" w:cs="宋体"/>
          <w:sz w:val="24"/>
          <w:szCs w:val="24"/>
        </w:rPr>
        <w:t>数据库：支持Microsoft SQL Server、MySQL、PostgreSQL以及国产数据达梦、人大金仓等；</w:t>
      </w:r>
    </w:p>
    <w:p>
      <w:pPr>
        <w:pStyle w:val="17"/>
        <w:spacing w:line="560" w:lineRule="exact"/>
        <w:ind w:firstLine="480" w:firstLineChars="200"/>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5）</w:t>
      </w:r>
      <w:r>
        <w:rPr>
          <w:rFonts w:hint="eastAsia" w:ascii="宋体" w:hAnsi="宋体" w:cs="宋体"/>
          <w:sz w:val="24"/>
          <w:szCs w:val="24"/>
        </w:rPr>
        <w:t>编码：支持UTF8/GB2312/GBK编码，优选UTF8；</w:t>
      </w:r>
    </w:p>
    <w:p>
      <w:pPr>
        <w:pStyle w:val="17"/>
        <w:spacing w:line="560" w:lineRule="exact"/>
        <w:ind w:firstLine="480" w:firstLineChars="200"/>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6）</w:t>
      </w:r>
      <w:r>
        <w:rPr>
          <w:rFonts w:hint="eastAsia" w:ascii="宋体" w:hAnsi="宋体" w:cs="宋体"/>
          <w:sz w:val="24"/>
          <w:szCs w:val="24"/>
        </w:rPr>
        <w:t>桌面浏览器：支持Google Chrome、Safari、Firefox、Microsoft Edge等；</w:t>
      </w:r>
    </w:p>
    <w:p>
      <w:pPr>
        <w:pStyle w:val="17"/>
        <w:spacing w:line="560" w:lineRule="exact"/>
        <w:ind w:firstLine="480" w:firstLineChars="200"/>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7）</w:t>
      </w:r>
      <w:r>
        <w:rPr>
          <w:rFonts w:hint="eastAsia" w:ascii="宋体" w:hAnsi="宋体" w:cs="宋体"/>
          <w:sz w:val="24"/>
          <w:szCs w:val="24"/>
        </w:rPr>
        <w:t>手机浏览器：支持Android原生浏览器、Google Chrome等；</w:t>
      </w:r>
    </w:p>
    <w:p>
      <w:pPr>
        <w:pStyle w:val="17"/>
        <w:spacing w:line="560" w:lineRule="exact"/>
        <w:ind w:firstLine="480" w:firstLineChars="200"/>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8）</w:t>
      </w:r>
      <w:r>
        <w:rPr>
          <w:rFonts w:hint="eastAsia" w:ascii="宋体" w:hAnsi="宋体" w:cs="宋体"/>
          <w:sz w:val="24"/>
          <w:szCs w:val="24"/>
        </w:rPr>
        <w:t>桌面客户端操作系统：支持WINDOWS 10及以上版本、MacOS最新版；</w:t>
      </w:r>
    </w:p>
    <w:p>
      <w:pPr>
        <w:pStyle w:val="17"/>
        <w:spacing w:line="560" w:lineRule="exact"/>
        <w:ind w:firstLine="480" w:firstLineChars="200"/>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9）</w:t>
      </w:r>
      <w:r>
        <w:rPr>
          <w:rFonts w:hint="eastAsia" w:ascii="宋体" w:hAnsi="宋体" w:cs="宋体"/>
          <w:sz w:val="24"/>
          <w:szCs w:val="24"/>
        </w:rPr>
        <w:t>移动客户端操作系统：支持Android 10及以上版本、IOS 13及以上版本。</w:t>
      </w:r>
    </w:p>
    <w:p>
      <w:pPr>
        <w:pStyle w:val="7"/>
      </w:pPr>
      <w:bookmarkStart w:id="73" w:name="_Toc18774"/>
      <w:r>
        <w:rPr>
          <w:rFonts w:hint="eastAsia"/>
          <w:lang w:val="en-US" w:eastAsia="zh-CN"/>
        </w:rPr>
        <w:t>测试环境需求</w:t>
      </w:r>
      <w:bookmarkEnd w:id="73"/>
    </w:p>
    <w:tbl>
      <w:tblPr>
        <w:tblStyle w:val="33"/>
        <w:tblW w:w="9350" w:type="dxa"/>
        <w:tblInd w:w="0" w:type="dxa"/>
        <w:tblLayout w:type="fixed"/>
        <w:tblCellMar>
          <w:top w:w="0" w:type="dxa"/>
          <w:left w:w="108" w:type="dxa"/>
          <w:bottom w:w="0" w:type="dxa"/>
          <w:right w:w="108" w:type="dxa"/>
        </w:tblCellMar>
      </w:tblPr>
      <w:tblGrid>
        <w:gridCol w:w="2405"/>
        <w:gridCol w:w="1075"/>
        <w:gridCol w:w="1081"/>
        <w:gridCol w:w="1081"/>
        <w:gridCol w:w="1081"/>
        <w:gridCol w:w="2627"/>
      </w:tblGrid>
      <w:tr>
        <w:tblPrEx>
          <w:tblCellMar>
            <w:top w:w="0" w:type="dxa"/>
            <w:left w:w="108" w:type="dxa"/>
            <w:bottom w:w="0" w:type="dxa"/>
            <w:right w:w="108" w:type="dxa"/>
          </w:tblCellMar>
        </w:tblPrEx>
        <w:trPr>
          <w:trHeight w:val="480" w:hRule="atLeast"/>
        </w:trPr>
        <w:tc>
          <w:tcPr>
            <w:tcW w:w="2405" w:type="dxa"/>
            <w:tcBorders>
              <w:top w:val="single" w:color="auto" w:sz="4" w:space="0"/>
              <w:left w:val="single" w:color="auto" w:sz="4" w:space="0"/>
              <w:bottom w:val="single" w:color="auto" w:sz="4" w:space="0"/>
              <w:right w:val="single" w:color="auto" w:sz="4" w:space="0"/>
            </w:tcBorders>
            <w:shd w:val="clear" w:color="auto" w:fill="EEECE1"/>
            <w:noWrap/>
            <w:vAlign w:val="center"/>
          </w:tcPr>
          <w:p>
            <w:pPr>
              <w:widowControl/>
              <w:snapToGrid/>
              <w:spacing w:beforeAutospacing="0" w:after="0" w:afterAutospacing="0" w:line="240" w:lineRule="auto"/>
              <w:ind w:firstLine="0" w:firstLineChars="0"/>
              <w:jc w:val="center"/>
              <w:rPr>
                <w:rFonts w:hint="eastAsia" w:ascii="宋体" w:hAnsi="宋体" w:eastAsia="宋体" w:cs="宋体"/>
                <w:b/>
                <w:bCs/>
                <w:color w:val="000000" w:themeColor="text1"/>
                <w:kern w:val="0"/>
                <w:sz w:val="21"/>
                <w:szCs w:val="21"/>
                <w14:textFill>
                  <w14:solidFill>
                    <w14:schemeClr w14:val="tx1"/>
                  </w14:solidFill>
                </w14:textFill>
              </w:rPr>
            </w:pPr>
            <w:r>
              <w:rPr>
                <w:rFonts w:hint="eastAsia" w:ascii="宋体" w:hAnsi="宋体" w:eastAsia="宋体" w:cs="宋体"/>
                <w:b/>
                <w:bCs/>
                <w:color w:val="000000" w:themeColor="text1"/>
                <w:kern w:val="0"/>
                <w:sz w:val="21"/>
                <w:szCs w:val="21"/>
                <w14:textFill>
                  <w14:solidFill>
                    <w14:schemeClr w14:val="tx1"/>
                  </w14:solidFill>
                </w14:textFill>
              </w:rPr>
              <w:t>服务器</w:t>
            </w:r>
          </w:p>
        </w:tc>
        <w:tc>
          <w:tcPr>
            <w:tcW w:w="1075" w:type="dxa"/>
            <w:tcBorders>
              <w:top w:val="single" w:color="auto" w:sz="4" w:space="0"/>
              <w:left w:val="nil"/>
              <w:bottom w:val="single" w:color="auto" w:sz="4" w:space="0"/>
              <w:right w:val="single" w:color="auto" w:sz="4" w:space="0"/>
            </w:tcBorders>
            <w:shd w:val="clear" w:color="auto" w:fill="EEECE1"/>
            <w:noWrap/>
            <w:vAlign w:val="center"/>
          </w:tcPr>
          <w:p>
            <w:pPr>
              <w:widowControl/>
              <w:snapToGrid/>
              <w:spacing w:beforeAutospacing="0" w:after="0" w:afterAutospacing="0" w:line="240" w:lineRule="auto"/>
              <w:ind w:firstLine="0" w:firstLineChars="0"/>
              <w:jc w:val="center"/>
              <w:rPr>
                <w:rFonts w:hint="eastAsia" w:ascii="宋体" w:hAnsi="宋体" w:eastAsia="宋体" w:cs="宋体"/>
                <w:b/>
                <w:color w:val="000000" w:themeColor="text1"/>
                <w:kern w:val="0"/>
                <w:sz w:val="21"/>
                <w:szCs w:val="21"/>
                <w14:textFill>
                  <w14:solidFill>
                    <w14:schemeClr w14:val="tx1"/>
                  </w14:solidFill>
                </w14:textFill>
              </w:rPr>
            </w:pPr>
            <w:r>
              <w:rPr>
                <w:rFonts w:hint="eastAsia" w:ascii="宋体" w:hAnsi="宋体" w:eastAsia="宋体" w:cs="宋体"/>
                <w:b/>
                <w:color w:val="000000" w:themeColor="text1"/>
                <w:kern w:val="0"/>
                <w:sz w:val="21"/>
                <w:szCs w:val="21"/>
                <w14:textFill>
                  <w14:solidFill>
                    <w14:schemeClr w14:val="tx1"/>
                  </w14:solidFill>
                </w14:textFill>
              </w:rPr>
              <w:t>数量</w:t>
            </w:r>
          </w:p>
        </w:tc>
        <w:tc>
          <w:tcPr>
            <w:tcW w:w="1081" w:type="dxa"/>
            <w:tcBorders>
              <w:top w:val="single" w:color="auto" w:sz="4" w:space="0"/>
              <w:left w:val="nil"/>
              <w:bottom w:val="single" w:color="auto" w:sz="4" w:space="0"/>
              <w:right w:val="single" w:color="auto" w:sz="4" w:space="0"/>
            </w:tcBorders>
            <w:shd w:val="clear" w:color="auto" w:fill="EEECE1"/>
            <w:noWrap/>
            <w:vAlign w:val="center"/>
          </w:tcPr>
          <w:p>
            <w:pPr>
              <w:widowControl/>
              <w:snapToGrid/>
              <w:spacing w:beforeAutospacing="0" w:after="0" w:afterAutospacing="0" w:line="240" w:lineRule="auto"/>
              <w:ind w:firstLine="0" w:firstLineChars="0"/>
              <w:jc w:val="center"/>
              <w:rPr>
                <w:rFonts w:hint="eastAsia" w:ascii="宋体" w:hAnsi="宋体" w:eastAsia="宋体" w:cs="宋体"/>
                <w:b/>
                <w:color w:val="000000" w:themeColor="text1"/>
                <w:kern w:val="0"/>
                <w:sz w:val="21"/>
                <w:szCs w:val="21"/>
                <w14:textFill>
                  <w14:solidFill>
                    <w14:schemeClr w14:val="tx1"/>
                  </w14:solidFill>
                </w14:textFill>
              </w:rPr>
            </w:pPr>
            <w:r>
              <w:rPr>
                <w:rFonts w:hint="eastAsia" w:ascii="宋体" w:hAnsi="宋体" w:eastAsia="宋体" w:cs="宋体"/>
                <w:b/>
                <w:color w:val="000000" w:themeColor="text1"/>
                <w:kern w:val="0"/>
                <w:sz w:val="21"/>
                <w:szCs w:val="21"/>
                <w14:textFill>
                  <w14:solidFill>
                    <w14:schemeClr w14:val="tx1"/>
                  </w14:solidFill>
                </w14:textFill>
              </w:rPr>
              <w:t>CPU</w:t>
            </w:r>
          </w:p>
        </w:tc>
        <w:tc>
          <w:tcPr>
            <w:tcW w:w="1081" w:type="dxa"/>
            <w:tcBorders>
              <w:top w:val="single" w:color="auto" w:sz="4" w:space="0"/>
              <w:left w:val="nil"/>
              <w:bottom w:val="single" w:color="auto" w:sz="4" w:space="0"/>
              <w:right w:val="single" w:color="auto" w:sz="4" w:space="0"/>
            </w:tcBorders>
            <w:shd w:val="clear" w:color="auto" w:fill="EEECE1"/>
            <w:noWrap/>
            <w:vAlign w:val="center"/>
          </w:tcPr>
          <w:p>
            <w:pPr>
              <w:widowControl/>
              <w:snapToGrid/>
              <w:spacing w:beforeAutospacing="0" w:after="0" w:afterAutospacing="0" w:line="240" w:lineRule="auto"/>
              <w:ind w:firstLine="0" w:firstLineChars="0"/>
              <w:jc w:val="center"/>
              <w:rPr>
                <w:rFonts w:hint="eastAsia" w:ascii="宋体" w:hAnsi="宋体" w:eastAsia="宋体" w:cs="宋体"/>
                <w:b/>
                <w:color w:val="000000" w:themeColor="text1"/>
                <w:kern w:val="0"/>
                <w:sz w:val="21"/>
                <w:szCs w:val="21"/>
                <w14:textFill>
                  <w14:solidFill>
                    <w14:schemeClr w14:val="tx1"/>
                  </w14:solidFill>
                </w14:textFill>
              </w:rPr>
            </w:pPr>
            <w:r>
              <w:rPr>
                <w:rFonts w:hint="eastAsia" w:ascii="宋体" w:hAnsi="宋体" w:eastAsia="宋体" w:cs="宋体"/>
                <w:b/>
                <w:color w:val="000000" w:themeColor="text1"/>
                <w:kern w:val="0"/>
                <w:sz w:val="21"/>
                <w:szCs w:val="21"/>
                <w14:textFill>
                  <w14:solidFill>
                    <w14:schemeClr w14:val="tx1"/>
                  </w14:solidFill>
                </w14:textFill>
              </w:rPr>
              <w:t>内存</w:t>
            </w:r>
          </w:p>
        </w:tc>
        <w:tc>
          <w:tcPr>
            <w:tcW w:w="1081" w:type="dxa"/>
            <w:tcBorders>
              <w:top w:val="single" w:color="auto" w:sz="4" w:space="0"/>
              <w:left w:val="nil"/>
              <w:bottom w:val="single" w:color="auto" w:sz="4" w:space="0"/>
              <w:right w:val="single" w:color="auto" w:sz="4" w:space="0"/>
            </w:tcBorders>
            <w:shd w:val="clear" w:color="auto" w:fill="EEECE1"/>
            <w:noWrap/>
            <w:vAlign w:val="center"/>
          </w:tcPr>
          <w:p>
            <w:pPr>
              <w:widowControl/>
              <w:snapToGrid/>
              <w:spacing w:beforeAutospacing="0" w:after="0" w:afterAutospacing="0" w:line="240" w:lineRule="auto"/>
              <w:ind w:firstLine="0" w:firstLineChars="0"/>
              <w:jc w:val="center"/>
              <w:rPr>
                <w:rFonts w:hint="eastAsia" w:ascii="宋体" w:hAnsi="宋体" w:eastAsia="宋体" w:cs="宋体"/>
                <w:b/>
                <w:color w:val="000000" w:themeColor="text1"/>
                <w:kern w:val="0"/>
                <w:sz w:val="21"/>
                <w:szCs w:val="21"/>
                <w14:textFill>
                  <w14:solidFill>
                    <w14:schemeClr w14:val="tx1"/>
                  </w14:solidFill>
                </w14:textFill>
              </w:rPr>
            </w:pPr>
            <w:r>
              <w:rPr>
                <w:rFonts w:hint="eastAsia" w:ascii="宋体" w:hAnsi="宋体" w:eastAsia="宋体" w:cs="宋体"/>
                <w:b/>
                <w:color w:val="000000" w:themeColor="text1"/>
                <w:kern w:val="0"/>
                <w:sz w:val="21"/>
                <w:szCs w:val="21"/>
                <w14:textFill>
                  <w14:solidFill>
                    <w14:schemeClr w14:val="tx1"/>
                  </w14:solidFill>
                </w14:textFill>
              </w:rPr>
              <w:t>磁盘</w:t>
            </w:r>
          </w:p>
        </w:tc>
        <w:tc>
          <w:tcPr>
            <w:tcW w:w="2627" w:type="dxa"/>
            <w:tcBorders>
              <w:top w:val="single" w:color="auto" w:sz="4" w:space="0"/>
              <w:left w:val="nil"/>
              <w:bottom w:val="single" w:color="auto" w:sz="4" w:space="0"/>
              <w:right w:val="single" w:color="auto" w:sz="4" w:space="0"/>
            </w:tcBorders>
            <w:shd w:val="clear" w:color="auto" w:fill="EEECE1"/>
            <w:noWrap/>
            <w:vAlign w:val="center"/>
          </w:tcPr>
          <w:p>
            <w:pPr>
              <w:widowControl/>
              <w:snapToGrid/>
              <w:spacing w:beforeAutospacing="0" w:after="0" w:afterAutospacing="0" w:line="240" w:lineRule="auto"/>
              <w:ind w:firstLine="0" w:firstLineChars="0"/>
              <w:jc w:val="center"/>
              <w:rPr>
                <w:rFonts w:hint="eastAsia" w:ascii="宋体" w:hAnsi="宋体" w:eastAsia="宋体" w:cs="宋体"/>
                <w:b/>
                <w:color w:val="000000" w:themeColor="text1"/>
                <w:kern w:val="0"/>
                <w:sz w:val="21"/>
                <w:szCs w:val="21"/>
                <w14:textFill>
                  <w14:solidFill>
                    <w14:schemeClr w14:val="tx1"/>
                  </w14:solidFill>
                </w14:textFill>
              </w:rPr>
            </w:pPr>
            <w:r>
              <w:rPr>
                <w:rFonts w:hint="eastAsia" w:ascii="宋体" w:hAnsi="宋体" w:eastAsia="宋体" w:cs="宋体"/>
                <w:b/>
                <w:color w:val="000000" w:themeColor="text1"/>
                <w:kern w:val="0"/>
                <w:sz w:val="21"/>
                <w:szCs w:val="21"/>
                <w14:textFill>
                  <w14:solidFill>
                    <w14:schemeClr w14:val="tx1"/>
                  </w14:solidFill>
                </w14:textFill>
              </w:rPr>
              <w:t>操作系统</w:t>
            </w:r>
          </w:p>
        </w:tc>
      </w:tr>
      <w:tr>
        <w:tblPrEx>
          <w:tblCellMar>
            <w:top w:w="0" w:type="dxa"/>
            <w:left w:w="108" w:type="dxa"/>
            <w:bottom w:w="0" w:type="dxa"/>
            <w:right w:w="108" w:type="dxa"/>
          </w:tblCellMar>
        </w:tblPrEx>
        <w:trPr>
          <w:trHeight w:val="480" w:hRule="atLeast"/>
        </w:trPr>
        <w:tc>
          <w:tcPr>
            <w:tcW w:w="2405"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pPr>
              <w:widowControl/>
              <w:snapToGrid/>
              <w:spacing w:beforeAutospacing="0" w:after="0" w:afterAutospacing="0" w:line="240" w:lineRule="auto"/>
              <w:ind w:firstLine="0" w:firstLineChars="0"/>
              <w:jc w:val="center"/>
              <w:rPr>
                <w:rFonts w:hint="eastAsia" w:ascii="宋体" w:hAnsi="宋体" w:eastAsia="宋体" w:cs="宋体"/>
                <w:bCs/>
                <w:color w:val="000000" w:themeColor="text1"/>
                <w:kern w:val="0"/>
                <w:sz w:val="21"/>
                <w:szCs w:val="21"/>
                <w14:textFill>
                  <w14:solidFill>
                    <w14:schemeClr w14:val="tx1"/>
                  </w14:solidFill>
                </w14:textFill>
              </w:rPr>
            </w:pPr>
            <w:r>
              <w:rPr>
                <w:rFonts w:hint="eastAsia" w:ascii="宋体" w:hAnsi="宋体" w:eastAsia="宋体" w:cs="宋体"/>
                <w:bCs/>
                <w:color w:val="000000" w:themeColor="text1"/>
                <w:kern w:val="0"/>
                <w:sz w:val="21"/>
                <w:szCs w:val="21"/>
                <w14:textFill>
                  <w14:solidFill>
                    <w14:schemeClr w14:val="tx1"/>
                  </w14:solidFill>
                </w14:textFill>
              </w:rPr>
              <w:t>应用服务器</w:t>
            </w:r>
          </w:p>
        </w:tc>
        <w:tc>
          <w:tcPr>
            <w:tcW w:w="1075"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w:t>
            </w:r>
          </w:p>
        </w:tc>
        <w:tc>
          <w:tcPr>
            <w:tcW w:w="1081"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4核心</w:t>
            </w:r>
          </w:p>
        </w:tc>
        <w:tc>
          <w:tcPr>
            <w:tcW w:w="1081"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8</w:t>
            </w:r>
            <w:r>
              <w:rPr>
                <w:rFonts w:hint="eastAsia" w:ascii="宋体" w:hAnsi="宋体" w:eastAsia="宋体" w:cs="宋体"/>
                <w:color w:val="000000" w:themeColor="text1"/>
                <w:kern w:val="0"/>
                <w:sz w:val="21"/>
                <w:szCs w:val="21"/>
                <w14:textFill>
                  <w14:solidFill>
                    <w14:schemeClr w14:val="tx1"/>
                  </w14:solidFill>
                </w14:textFill>
              </w:rPr>
              <w:t>G</w:t>
            </w:r>
          </w:p>
        </w:tc>
        <w:tc>
          <w:tcPr>
            <w:tcW w:w="1081"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5</w:t>
            </w:r>
            <w:r>
              <w:rPr>
                <w:rFonts w:hint="eastAsia" w:ascii="宋体" w:hAnsi="宋体" w:eastAsia="宋体" w:cs="宋体"/>
                <w:color w:val="000000" w:themeColor="text1"/>
                <w:kern w:val="0"/>
                <w:sz w:val="21"/>
                <w:szCs w:val="21"/>
                <w14:textFill>
                  <w14:solidFill>
                    <w14:schemeClr w14:val="tx1"/>
                  </w14:solidFill>
                </w14:textFill>
              </w:rPr>
              <w:t>00G</w:t>
            </w:r>
          </w:p>
        </w:tc>
        <w:tc>
          <w:tcPr>
            <w:tcW w:w="2627"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银河麒麟</w:t>
            </w:r>
          </w:p>
        </w:tc>
      </w:tr>
      <w:tr>
        <w:tblPrEx>
          <w:tblCellMar>
            <w:top w:w="0" w:type="dxa"/>
            <w:left w:w="108" w:type="dxa"/>
            <w:bottom w:w="0" w:type="dxa"/>
            <w:right w:w="108" w:type="dxa"/>
          </w:tblCellMar>
        </w:tblPrEx>
        <w:trPr>
          <w:trHeight w:val="480" w:hRule="atLeast"/>
        </w:trPr>
        <w:tc>
          <w:tcPr>
            <w:tcW w:w="2405" w:type="dxa"/>
            <w:tcBorders>
              <w:top w:val="single" w:color="auto" w:sz="4" w:space="0"/>
              <w:left w:val="single" w:color="auto" w:sz="4" w:space="0"/>
              <w:bottom w:val="single" w:color="auto" w:sz="4" w:space="0"/>
              <w:right w:val="single" w:color="000000" w:sz="4" w:space="0"/>
            </w:tcBorders>
            <w:shd w:val="clear" w:color="000000" w:fill="FFFFFF" w:themeFill="background1"/>
            <w:vAlign w:val="center"/>
          </w:tcPr>
          <w:p>
            <w:pPr>
              <w:widowControl/>
              <w:snapToGrid/>
              <w:spacing w:beforeAutospacing="0" w:after="0" w:afterAutospacing="0" w:line="240" w:lineRule="auto"/>
              <w:ind w:firstLine="0" w:firstLineChars="0"/>
              <w:jc w:val="center"/>
              <w:rPr>
                <w:rFonts w:hint="eastAsia" w:ascii="宋体" w:hAnsi="宋体" w:eastAsia="宋体" w:cs="宋体"/>
                <w:bCs/>
                <w:color w:val="000000" w:themeColor="text1"/>
                <w:kern w:val="0"/>
                <w:sz w:val="21"/>
                <w:szCs w:val="21"/>
                <w14:textFill>
                  <w14:solidFill>
                    <w14:schemeClr w14:val="tx1"/>
                  </w14:solidFill>
                </w14:textFill>
              </w:rPr>
            </w:pPr>
            <w:r>
              <w:rPr>
                <w:rFonts w:hint="eastAsia" w:ascii="宋体" w:hAnsi="宋体" w:eastAsia="宋体" w:cs="宋体"/>
                <w:bCs/>
                <w:color w:val="000000" w:themeColor="text1"/>
                <w:kern w:val="0"/>
                <w:sz w:val="21"/>
                <w:szCs w:val="21"/>
                <w14:textFill>
                  <w14:solidFill>
                    <w14:schemeClr w14:val="tx1"/>
                  </w14:solidFill>
                </w14:textFill>
              </w:rPr>
              <w:t>数据库服务器</w:t>
            </w:r>
          </w:p>
        </w:tc>
        <w:tc>
          <w:tcPr>
            <w:tcW w:w="1075"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w:t>
            </w:r>
          </w:p>
        </w:tc>
        <w:tc>
          <w:tcPr>
            <w:tcW w:w="1081"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4核心</w:t>
            </w:r>
          </w:p>
        </w:tc>
        <w:tc>
          <w:tcPr>
            <w:tcW w:w="1081"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8</w:t>
            </w:r>
            <w:r>
              <w:rPr>
                <w:rFonts w:hint="eastAsia" w:ascii="宋体" w:hAnsi="宋体" w:eastAsia="宋体" w:cs="宋体"/>
                <w:color w:val="000000" w:themeColor="text1"/>
                <w:kern w:val="0"/>
                <w:sz w:val="21"/>
                <w:szCs w:val="21"/>
                <w14:textFill>
                  <w14:solidFill>
                    <w14:schemeClr w14:val="tx1"/>
                  </w14:solidFill>
                </w14:textFill>
              </w:rPr>
              <w:t>G</w:t>
            </w:r>
          </w:p>
        </w:tc>
        <w:tc>
          <w:tcPr>
            <w:tcW w:w="1081"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5</w:t>
            </w:r>
            <w:r>
              <w:rPr>
                <w:rFonts w:hint="eastAsia" w:ascii="宋体" w:hAnsi="宋体" w:eastAsia="宋体" w:cs="宋体"/>
                <w:color w:val="000000" w:themeColor="text1"/>
                <w:kern w:val="0"/>
                <w:sz w:val="21"/>
                <w:szCs w:val="21"/>
                <w14:textFill>
                  <w14:solidFill>
                    <w14:schemeClr w14:val="tx1"/>
                  </w14:solidFill>
                </w14:textFill>
              </w:rPr>
              <w:t>00G</w:t>
            </w:r>
          </w:p>
        </w:tc>
        <w:tc>
          <w:tcPr>
            <w:tcW w:w="2627"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银河麒麟</w:t>
            </w:r>
          </w:p>
        </w:tc>
      </w:tr>
    </w:tbl>
    <w:p>
      <w:pPr>
        <w:pStyle w:val="5"/>
      </w:pPr>
    </w:p>
    <w:p>
      <w:pPr>
        <w:pStyle w:val="7"/>
        <w:rPr>
          <w:rFonts w:hint="eastAsia" w:ascii="Times New Roman" w:hAnsi="Times New Roman" w:eastAsia="宋体" w:cs="Times New Roman"/>
          <w:b/>
          <w:bCs/>
          <w:kern w:val="2"/>
          <w:sz w:val="24"/>
          <w:szCs w:val="24"/>
          <w:lang w:val="en-US" w:eastAsia="zh-CN" w:bidi="ar-SA"/>
        </w:rPr>
      </w:pPr>
      <w:bookmarkStart w:id="74" w:name="_Toc32089"/>
      <w:r>
        <w:rPr>
          <w:rFonts w:hint="eastAsia" w:cs="Times New Roman"/>
          <w:b/>
          <w:bCs/>
          <w:kern w:val="2"/>
          <w:sz w:val="24"/>
          <w:szCs w:val="24"/>
          <w:lang w:val="en-US" w:eastAsia="zh-CN" w:bidi="ar-SA"/>
        </w:rPr>
        <w:t>正式环境需求</w:t>
      </w:r>
      <w:bookmarkEnd w:id="74"/>
    </w:p>
    <w:tbl>
      <w:tblPr>
        <w:tblStyle w:val="33"/>
        <w:tblW w:w="9350" w:type="dxa"/>
        <w:tblInd w:w="0" w:type="dxa"/>
        <w:tblLayout w:type="fixed"/>
        <w:tblCellMar>
          <w:top w:w="0" w:type="dxa"/>
          <w:left w:w="108" w:type="dxa"/>
          <w:bottom w:w="0" w:type="dxa"/>
          <w:right w:w="108" w:type="dxa"/>
        </w:tblCellMar>
      </w:tblPr>
      <w:tblGrid>
        <w:gridCol w:w="2404"/>
        <w:gridCol w:w="1078"/>
        <w:gridCol w:w="1080"/>
        <w:gridCol w:w="1080"/>
        <w:gridCol w:w="1081"/>
        <w:gridCol w:w="2627"/>
      </w:tblGrid>
      <w:tr>
        <w:tblPrEx>
          <w:tblCellMar>
            <w:top w:w="0" w:type="dxa"/>
            <w:left w:w="108" w:type="dxa"/>
            <w:bottom w:w="0" w:type="dxa"/>
            <w:right w:w="108" w:type="dxa"/>
          </w:tblCellMar>
        </w:tblPrEx>
        <w:trPr>
          <w:trHeight w:val="480" w:hRule="atLeast"/>
        </w:trPr>
        <w:tc>
          <w:tcPr>
            <w:tcW w:w="2404" w:type="dxa"/>
            <w:tcBorders>
              <w:top w:val="single" w:color="auto" w:sz="4" w:space="0"/>
              <w:left w:val="single" w:color="auto" w:sz="4" w:space="0"/>
              <w:bottom w:val="single" w:color="auto" w:sz="4" w:space="0"/>
              <w:right w:val="single" w:color="auto" w:sz="4" w:space="0"/>
            </w:tcBorders>
            <w:shd w:val="clear" w:color="auto" w:fill="EEECE1"/>
            <w:noWrap/>
            <w:vAlign w:val="center"/>
          </w:tcPr>
          <w:p>
            <w:pPr>
              <w:widowControl/>
              <w:snapToGrid/>
              <w:spacing w:beforeAutospacing="0" w:after="0" w:afterAutospacing="0" w:line="240" w:lineRule="auto"/>
              <w:ind w:firstLine="0" w:firstLineChars="0"/>
              <w:jc w:val="center"/>
              <w:rPr>
                <w:rFonts w:hint="eastAsia" w:ascii="宋体" w:hAnsi="宋体" w:eastAsia="宋体" w:cs="宋体"/>
                <w:b/>
                <w:bCs/>
                <w:color w:val="000000" w:themeColor="text1"/>
                <w:kern w:val="0"/>
                <w:sz w:val="21"/>
                <w:szCs w:val="21"/>
                <w14:textFill>
                  <w14:solidFill>
                    <w14:schemeClr w14:val="tx1"/>
                  </w14:solidFill>
                </w14:textFill>
              </w:rPr>
            </w:pPr>
            <w:r>
              <w:rPr>
                <w:rFonts w:hint="eastAsia" w:ascii="宋体" w:hAnsi="宋体" w:eastAsia="宋体" w:cs="宋体"/>
                <w:b/>
                <w:bCs/>
                <w:color w:val="000000" w:themeColor="text1"/>
                <w:kern w:val="0"/>
                <w:sz w:val="21"/>
                <w:szCs w:val="21"/>
                <w14:textFill>
                  <w14:solidFill>
                    <w14:schemeClr w14:val="tx1"/>
                  </w14:solidFill>
                </w14:textFill>
              </w:rPr>
              <w:t>服务器</w:t>
            </w:r>
          </w:p>
        </w:tc>
        <w:tc>
          <w:tcPr>
            <w:tcW w:w="1078" w:type="dxa"/>
            <w:tcBorders>
              <w:top w:val="single" w:color="auto" w:sz="4" w:space="0"/>
              <w:left w:val="nil"/>
              <w:bottom w:val="single" w:color="auto" w:sz="4" w:space="0"/>
              <w:right w:val="single" w:color="auto" w:sz="4" w:space="0"/>
            </w:tcBorders>
            <w:shd w:val="clear" w:color="auto" w:fill="EEECE1"/>
            <w:noWrap/>
            <w:vAlign w:val="center"/>
          </w:tcPr>
          <w:p>
            <w:pPr>
              <w:widowControl/>
              <w:snapToGrid/>
              <w:spacing w:beforeAutospacing="0" w:after="0" w:afterAutospacing="0" w:line="240" w:lineRule="auto"/>
              <w:ind w:firstLine="0" w:firstLineChars="0"/>
              <w:jc w:val="center"/>
              <w:rPr>
                <w:rFonts w:hint="eastAsia" w:ascii="宋体" w:hAnsi="宋体" w:eastAsia="宋体" w:cs="宋体"/>
                <w:b/>
                <w:color w:val="000000" w:themeColor="text1"/>
                <w:kern w:val="0"/>
                <w:sz w:val="21"/>
                <w:szCs w:val="21"/>
                <w14:textFill>
                  <w14:solidFill>
                    <w14:schemeClr w14:val="tx1"/>
                  </w14:solidFill>
                </w14:textFill>
              </w:rPr>
            </w:pPr>
            <w:r>
              <w:rPr>
                <w:rFonts w:hint="eastAsia" w:ascii="宋体" w:hAnsi="宋体" w:eastAsia="宋体" w:cs="宋体"/>
                <w:b/>
                <w:color w:val="000000" w:themeColor="text1"/>
                <w:kern w:val="0"/>
                <w:sz w:val="21"/>
                <w:szCs w:val="21"/>
                <w14:textFill>
                  <w14:solidFill>
                    <w14:schemeClr w14:val="tx1"/>
                  </w14:solidFill>
                </w14:textFill>
              </w:rPr>
              <w:t>数量</w:t>
            </w:r>
          </w:p>
        </w:tc>
        <w:tc>
          <w:tcPr>
            <w:tcW w:w="1080" w:type="dxa"/>
            <w:tcBorders>
              <w:top w:val="single" w:color="auto" w:sz="4" w:space="0"/>
              <w:left w:val="nil"/>
              <w:bottom w:val="single" w:color="auto" w:sz="4" w:space="0"/>
              <w:right w:val="single" w:color="auto" w:sz="4" w:space="0"/>
            </w:tcBorders>
            <w:shd w:val="clear" w:color="auto" w:fill="EEECE1"/>
            <w:noWrap/>
            <w:vAlign w:val="center"/>
          </w:tcPr>
          <w:p>
            <w:pPr>
              <w:widowControl/>
              <w:snapToGrid/>
              <w:spacing w:beforeAutospacing="0" w:after="0" w:afterAutospacing="0" w:line="240" w:lineRule="auto"/>
              <w:ind w:firstLine="0" w:firstLineChars="0"/>
              <w:jc w:val="center"/>
              <w:rPr>
                <w:rFonts w:hint="eastAsia" w:ascii="宋体" w:hAnsi="宋体" w:eastAsia="宋体" w:cs="宋体"/>
                <w:b/>
                <w:color w:val="000000" w:themeColor="text1"/>
                <w:kern w:val="0"/>
                <w:sz w:val="21"/>
                <w:szCs w:val="21"/>
                <w14:textFill>
                  <w14:solidFill>
                    <w14:schemeClr w14:val="tx1"/>
                  </w14:solidFill>
                </w14:textFill>
              </w:rPr>
            </w:pPr>
            <w:r>
              <w:rPr>
                <w:rFonts w:hint="eastAsia" w:ascii="宋体" w:hAnsi="宋体" w:eastAsia="宋体" w:cs="宋体"/>
                <w:b/>
                <w:color w:val="000000" w:themeColor="text1"/>
                <w:kern w:val="0"/>
                <w:sz w:val="21"/>
                <w:szCs w:val="21"/>
                <w14:textFill>
                  <w14:solidFill>
                    <w14:schemeClr w14:val="tx1"/>
                  </w14:solidFill>
                </w14:textFill>
              </w:rPr>
              <w:t>CPU</w:t>
            </w:r>
          </w:p>
        </w:tc>
        <w:tc>
          <w:tcPr>
            <w:tcW w:w="1080" w:type="dxa"/>
            <w:tcBorders>
              <w:top w:val="single" w:color="auto" w:sz="4" w:space="0"/>
              <w:left w:val="nil"/>
              <w:bottom w:val="single" w:color="auto" w:sz="4" w:space="0"/>
              <w:right w:val="single" w:color="auto" w:sz="4" w:space="0"/>
            </w:tcBorders>
            <w:shd w:val="clear" w:color="auto" w:fill="EEECE1"/>
            <w:noWrap/>
            <w:vAlign w:val="center"/>
          </w:tcPr>
          <w:p>
            <w:pPr>
              <w:widowControl/>
              <w:snapToGrid/>
              <w:spacing w:beforeAutospacing="0" w:after="0" w:afterAutospacing="0" w:line="240" w:lineRule="auto"/>
              <w:ind w:firstLine="0" w:firstLineChars="0"/>
              <w:jc w:val="center"/>
              <w:rPr>
                <w:rFonts w:hint="eastAsia" w:ascii="宋体" w:hAnsi="宋体" w:eastAsia="宋体" w:cs="宋体"/>
                <w:b/>
                <w:color w:val="000000" w:themeColor="text1"/>
                <w:kern w:val="0"/>
                <w:sz w:val="21"/>
                <w:szCs w:val="21"/>
                <w14:textFill>
                  <w14:solidFill>
                    <w14:schemeClr w14:val="tx1"/>
                  </w14:solidFill>
                </w14:textFill>
              </w:rPr>
            </w:pPr>
            <w:r>
              <w:rPr>
                <w:rFonts w:hint="eastAsia" w:ascii="宋体" w:hAnsi="宋体" w:eastAsia="宋体" w:cs="宋体"/>
                <w:b/>
                <w:color w:val="000000" w:themeColor="text1"/>
                <w:kern w:val="0"/>
                <w:sz w:val="21"/>
                <w:szCs w:val="21"/>
                <w14:textFill>
                  <w14:solidFill>
                    <w14:schemeClr w14:val="tx1"/>
                  </w14:solidFill>
                </w14:textFill>
              </w:rPr>
              <w:t>内存</w:t>
            </w:r>
          </w:p>
        </w:tc>
        <w:tc>
          <w:tcPr>
            <w:tcW w:w="1081" w:type="dxa"/>
            <w:tcBorders>
              <w:top w:val="single" w:color="auto" w:sz="4" w:space="0"/>
              <w:left w:val="nil"/>
              <w:bottom w:val="single" w:color="auto" w:sz="4" w:space="0"/>
              <w:right w:val="single" w:color="auto" w:sz="4" w:space="0"/>
            </w:tcBorders>
            <w:shd w:val="clear" w:color="auto" w:fill="EEECE1"/>
            <w:noWrap/>
            <w:vAlign w:val="center"/>
          </w:tcPr>
          <w:p>
            <w:pPr>
              <w:widowControl/>
              <w:snapToGrid/>
              <w:spacing w:beforeAutospacing="0" w:after="0" w:afterAutospacing="0" w:line="240" w:lineRule="auto"/>
              <w:ind w:firstLine="0" w:firstLineChars="0"/>
              <w:jc w:val="center"/>
              <w:rPr>
                <w:rFonts w:hint="eastAsia" w:ascii="宋体" w:hAnsi="宋体" w:eastAsia="宋体" w:cs="宋体"/>
                <w:b/>
                <w:color w:val="000000" w:themeColor="text1"/>
                <w:kern w:val="0"/>
                <w:sz w:val="21"/>
                <w:szCs w:val="21"/>
                <w14:textFill>
                  <w14:solidFill>
                    <w14:schemeClr w14:val="tx1"/>
                  </w14:solidFill>
                </w14:textFill>
              </w:rPr>
            </w:pPr>
            <w:r>
              <w:rPr>
                <w:rFonts w:hint="eastAsia" w:ascii="宋体" w:hAnsi="宋体" w:eastAsia="宋体" w:cs="宋体"/>
                <w:b/>
                <w:color w:val="000000" w:themeColor="text1"/>
                <w:kern w:val="0"/>
                <w:sz w:val="21"/>
                <w:szCs w:val="21"/>
                <w14:textFill>
                  <w14:solidFill>
                    <w14:schemeClr w14:val="tx1"/>
                  </w14:solidFill>
                </w14:textFill>
              </w:rPr>
              <w:t>磁盘</w:t>
            </w:r>
          </w:p>
        </w:tc>
        <w:tc>
          <w:tcPr>
            <w:tcW w:w="2627" w:type="dxa"/>
            <w:tcBorders>
              <w:top w:val="single" w:color="auto" w:sz="4" w:space="0"/>
              <w:left w:val="nil"/>
              <w:bottom w:val="single" w:color="auto" w:sz="4" w:space="0"/>
              <w:right w:val="single" w:color="auto" w:sz="4" w:space="0"/>
            </w:tcBorders>
            <w:shd w:val="clear" w:color="auto" w:fill="EEECE1"/>
            <w:noWrap/>
            <w:vAlign w:val="center"/>
          </w:tcPr>
          <w:p>
            <w:pPr>
              <w:widowControl/>
              <w:snapToGrid/>
              <w:spacing w:beforeAutospacing="0" w:after="0" w:afterAutospacing="0" w:line="240" w:lineRule="auto"/>
              <w:ind w:firstLine="0" w:firstLineChars="0"/>
              <w:jc w:val="center"/>
              <w:rPr>
                <w:rFonts w:hint="eastAsia" w:ascii="宋体" w:hAnsi="宋体" w:eastAsia="宋体" w:cs="宋体"/>
                <w:b/>
                <w:color w:val="000000" w:themeColor="text1"/>
                <w:kern w:val="0"/>
                <w:sz w:val="21"/>
                <w:szCs w:val="21"/>
                <w14:textFill>
                  <w14:solidFill>
                    <w14:schemeClr w14:val="tx1"/>
                  </w14:solidFill>
                </w14:textFill>
              </w:rPr>
            </w:pPr>
            <w:r>
              <w:rPr>
                <w:rFonts w:hint="eastAsia" w:ascii="宋体" w:hAnsi="宋体" w:eastAsia="宋体" w:cs="宋体"/>
                <w:b/>
                <w:color w:val="000000" w:themeColor="text1"/>
                <w:kern w:val="0"/>
                <w:sz w:val="21"/>
                <w:szCs w:val="21"/>
                <w14:textFill>
                  <w14:solidFill>
                    <w14:schemeClr w14:val="tx1"/>
                  </w14:solidFill>
                </w14:textFill>
              </w:rPr>
              <w:t>操作系统</w:t>
            </w:r>
          </w:p>
        </w:tc>
      </w:tr>
      <w:tr>
        <w:tblPrEx>
          <w:tblCellMar>
            <w:top w:w="0" w:type="dxa"/>
            <w:left w:w="108" w:type="dxa"/>
            <w:bottom w:w="0" w:type="dxa"/>
            <w:right w:w="108" w:type="dxa"/>
          </w:tblCellMar>
        </w:tblPrEx>
        <w:trPr>
          <w:trHeight w:val="480" w:hRule="atLeast"/>
        </w:trPr>
        <w:tc>
          <w:tcPr>
            <w:tcW w:w="2404"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pPr>
              <w:widowControl/>
              <w:snapToGrid/>
              <w:spacing w:beforeAutospacing="0" w:after="0" w:afterAutospacing="0" w:line="240" w:lineRule="auto"/>
              <w:ind w:firstLine="0" w:firstLineChars="0"/>
              <w:jc w:val="center"/>
              <w:rPr>
                <w:rFonts w:hint="eastAsia" w:ascii="宋体" w:hAnsi="宋体" w:eastAsia="宋体" w:cs="宋体"/>
                <w:bCs/>
                <w:color w:val="000000" w:themeColor="text1"/>
                <w:kern w:val="0"/>
                <w:sz w:val="21"/>
                <w:szCs w:val="21"/>
                <w14:textFill>
                  <w14:solidFill>
                    <w14:schemeClr w14:val="tx1"/>
                  </w14:solidFill>
                </w14:textFill>
              </w:rPr>
            </w:pPr>
            <w:r>
              <w:rPr>
                <w:rFonts w:hint="eastAsia" w:ascii="宋体" w:hAnsi="宋体" w:eastAsia="宋体" w:cs="宋体"/>
                <w:bCs/>
                <w:color w:val="000000" w:themeColor="text1"/>
                <w:kern w:val="0"/>
                <w:sz w:val="21"/>
                <w:szCs w:val="21"/>
                <w14:textFill>
                  <w14:solidFill>
                    <w14:schemeClr w14:val="tx1"/>
                  </w14:solidFill>
                </w14:textFill>
              </w:rPr>
              <w:t>应用服务器</w:t>
            </w:r>
          </w:p>
        </w:tc>
        <w:tc>
          <w:tcPr>
            <w:tcW w:w="1078"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w:t>
            </w:r>
          </w:p>
        </w:tc>
        <w:tc>
          <w:tcPr>
            <w:tcW w:w="1080"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8</w:t>
            </w:r>
            <w:r>
              <w:rPr>
                <w:rFonts w:hint="eastAsia" w:ascii="宋体" w:hAnsi="宋体" w:eastAsia="宋体" w:cs="宋体"/>
                <w:color w:val="000000" w:themeColor="text1"/>
                <w:kern w:val="0"/>
                <w:sz w:val="21"/>
                <w:szCs w:val="21"/>
                <w14:textFill>
                  <w14:solidFill>
                    <w14:schemeClr w14:val="tx1"/>
                  </w14:solidFill>
                </w14:textFill>
              </w:rPr>
              <w:t>核心</w:t>
            </w:r>
          </w:p>
        </w:tc>
        <w:tc>
          <w:tcPr>
            <w:tcW w:w="1080"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16</w:t>
            </w:r>
            <w:r>
              <w:rPr>
                <w:rFonts w:hint="eastAsia" w:ascii="宋体" w:hAnsi="宋体" w:eastAsia="宋体" w:cs="宋体"/>
                <w:color w:val="000000" w:themeColor="text1"/>
                <w:kern w:val="0"/>
                <w:sz w:val="21"/>
                <w:szCs w:val="21"/>
                <w14:textFill>
                  <w14:solidFill>
                    <w14:schemeClr w14:val="tx1"/>
                  </w14:solidFill>
                </w14:textFill>
              </w:rPr>
              <w:t>G</w:t>
            </w:r>
          </w:p>
        </w:tc>
        <w:tc>
          <w:tcPr>
            <w:tcW w:w="1081"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5</w:t>
            </w:r>
            <w:r>
              <w:rPr>
                <w:rFonts w:hint="eastAsia" w:ascii="宋体" w:hAnsi="宋体" w:eastAsia="宋体" w:cs="宋体"/>
                <w:color w:val="000000" w:themeColor="text1"/>
                <w:kern w:val="0"/>
                <w:sz w:val="21"/>
                <w:szCs w:val="21"/>
                <w14:textFill>
                  <w14:solidFill>
                    <w14:schemeClr w14:val="tx1"/>
                  </w14:solidFill>
                </w14:textFill>
              </w:rPr>
              <w:t>00G</w:t>
            </w:r>
          </w:p>
        </w:tc>
        <w:tc>
          <w:tcPr>
            <w:tcW w:w="2627"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银河麒麟</w:t>
            </w:r>
          </w:p>
        </w:tc>
      </w:tr>
      <w:tr>
        <w:tblPrEx>
          <w:tblCellMar>
            <w:top w:w="0" w:type="dxa"/>
            <w:left w:w="108" w:type="dxa"/>
            <w:bottom w:w="0" w:type="dxa"/>
            <w:right w:w="108" w:type="dxa"/>
          </w:tblCellMar>
        </w:tblPrEx>
        <w:trPr>
          <w:trHeight w:val="528" w:hRule="atLeast"/>
        </w:trPr>
        <w:tc>
          <w:tcPr>
            <w:tcW w:w="2404" w:type="dxa"/>
            <w:tcBorders>
              <w:top w:val="single" w:color="auto" w:sz="4" w:space="0"/>
              <w:left w:val="single" w:color="auto" w:sz="4" w:space="0"/>
              <w:bottom w:val="single" w:color="auto" w:sz="4" w:space="0"/>
              <w:right w:val="single" w:color="000000" w:sz="4" w:space="0"/>
            </w:tcBorders>
            <w:shd w:val="clear" w:color="000000" w:fill="FFFFFF" w:themeFill="background1"/>
            <w:vAlign w:val="center"/>
          </w:tcPr>
          <w:p>
            <w:pPr>
              <w:widowControl/>
              <w:snapToGrid/>
              <w:spacing w:beforeAutospacing="0" w:after="0" w:afterAutospacing="0" w:line="240" w:lineRule="auto"/>
              <w:ind w:firstLine="0" w:firstLineChars="0"/>
              <w:jc w:val="center"/>
              <w:rPr>
                <w:rFonts w:hint="eastAsia" w:ascii="宋体" w:hAnsi="宋体" w:eastAsia="宋体" w:cs="宋体"/>
                <w:bCs/>
                <w:color w:val="000000" w:themeColor="text1"/>
                <w:kern w:val="0"/>
                <w:sz w:val="21"/>
                <w:szCs w:val="21"/>
                <w14:textFill>
                  <w14:solidFill>
                    <w14:schemeClr w14:val="tx1"/>
                  </w14:solidFill>
                </w14:textFill>
              </w:rPr>
            </w:pPr>
            <w:r>
              <w:rPr>
                <w:rFonts w:hint="eastAsia" w:ascii="宋体" w:hAnsi="宋体" w:eastAsia="宋体" w:cs="宋体"/>
                <w:bCs/>
                <w:color w:val="000000" w:themeColor="text1"/>
                <w:kern w:val="0"/>
                <w:sz w:val="21"/>
                <w:szCs w:val="21"/>
                <w14:textFill>
                  <w14:solidFill>
                    <w14:schemeClr w14:val="tx1"/>
                  </w14:solidFill>
                </w14:textFill>
              </w:rPr>
              <w:t>数据库服务器</w:t>
            </w:r>
          </w:p>
        </w:tc>
        <w:tc>
          <w:tcPr>
            <w:tcW w:w="1078"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w:t>
            </w:r>
          </w:p>
        </w:tc>
        <w:tc>
          <w:tcPr>
            <w:tcW w:w="1080"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8</w:t>
            </w:r>
            <w:r>
              <w:rPr>
                <w:rFonts w:hint="eastAsia" w:ascii="宋体" w:hAnsi="宋体" w:eastAsia="宋体" w:cs="宋体"/>
                <w:color w:val="000000" w:themeColor="text1"/>
                <w:kern w:val="0"/>
                <w:sz w:val="21"/>
                <w:szCs w:val="21"/>
                <w14:textFill>
                  <w14:solidFill>
                    <w14:schemeClr w14:val="tx1"/>
                  </w14:solidFill>
                </w14:textFill>
              </w:rPr>
              <w:t>核心</w:t>
            </w:r>
          </w:p>
        </w:tc>
        <w:tc>
          <w:tcPr>
            <w:tcW w:w="1080"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16</w:t>
            </w:r>
            <w:r>
              <w:rPr>
                <w:rFonts w:hint="eastAsia" w:ascii="宋体" w:hAnsi="宋体" w:eastAsia="宋体" w:cs="宋体"/>
                <w:color w:val="000000" w:themeColor="text1"/>
                <w:kern w:val="0"/>
                <w:sz w:val="21"/>
                <w:szCs w:val="21"/>
                <w14:textFill>
                  <w14:solidFill>
                    <w14:schemeClr w14:val="tx1"/>
                  </w14:solidFill>
                </w14:textFill>
              </w:rPr>
              <w:t>G</w:t>
            </w:r>
          </w:p>
        </w:tc>
        <w:tc>
          <w:tcPr>
            <w:tcW w:w="1081"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5</w:t>
            </w:r>
            <w:r>
              <w:rPr>
                <w:rFonts w:hint="eastAsia" w:ascii="宋体" w:hAnsi="宋体" w:eastAsia="宋体" w:cs="宋体"/>
                <w:color w:val="000000" w:themeColor="text1"/>
                <w:kern w:val="0"/>
                <w:sz w:val="21"/>
                <w:szCs w:val="21"/>
                <w14:textFill>
                  <w14:solidFill>
                    <w14:schemeClr w14:val="tx1"/>
                  </w14:solidFill>
                </w14:textFill>
              </w:rPr>
              <w:t>00G</w:t>
            </w:r>
          </w:p>
        </w:tc>
        <w:tc>
          <w:tcPr>
            <w:tcW w:w="2627"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银河麒麟</w:t>
            </w:r>
          </w:p>
        </w:tc>
      </w:tr>
      <w:tr>
        <w:tblPrEx>
          <w:tblCellMar>
            <w:top w:w="0" w:type="dxa"/>
            <w:left w:w="108" w:type="dxa"/>
            <w:bottom w:w="0" w:type="dxa"/>
            <w:right w:w="108" w:type="dxa"/>
          </w:tblCellMar>
        </w:tblPrEx>
        <w:trPr>
          <w:trHeight w:val="480" w:hRule="atLeast"/>
        </w:trPr>
        <w:tc>
          <w:tcPr>
            <w:tcW w:w="2404" w:type="dxa"/>
            <w:tcBorders>
              <w:top w:val="single" w:color="auto" w:sz="4" w:space="0"/>
              <w:left w:val="single" w:color="auto" w:sz="4" w:space="0"/>
              <w:bottom w:val="single" w:color="auto" w:sz="4" w:space="0"/>
              <w:right w:val="single" w:color="000000" w:sz="4" w:space="0"/>
            </w:tcBorders>
            <w:shd w:val="clear" w:color="000000" w:fill="FFFFFF" w:themeFill="background1"/>
            <w:vAlign w:val="center"/>
          </w:tcPr>
          <w:p>
            <w:pPr>
              <w:widowControl/>
              <w:snapToGrid/>
              <w:spacing w:beforeAutospacing="0" w:after="0" w:afterAutospacing="0" w:line="240" w:lineRule="auto"/>
              <w:ind w:firstLine="0" w:firstLineChars="0"/>
              <w:jc w:val="center"/>
              <w:rPr>
                <w:rFonts w:hint="eastAsia" w:ascii="宋体" w:hAnsi="宋体" w:eastAsia="宋体" w:cs="宋体"/>
                <w:bCs/>
                <w:color w:val="000000" w:themeColor="text1"/>
                <w:kern w:val="0"/>
                <w:sz w:val="21"/>
                <w:szCs w:val="21"/>
                <w14:textFill>
                  <w14:solidFill>
                    <w14:schemeClr w14:val="tx1"/>
                  </w14:solidFill>
                </w14:textFill>
              </w:rPr>
            </w:pPr>
            <w:r>
              <w:rPr>
                <w:rFonts w:hint="eastAsia" w:ascii="宋体" w:hAnsi="宋体" w:eastAsia="宋体" w:cs="宋体"/>
                <w:bCs/>
                <w:color w:val="000000" w:themeColor="text1"/>
                <w:kern w:val="0"/>
                <w:sz w:val="21"/>
                <w:szCs w:val="21"/>
                <w14:textFill>
                  <w14:solidFill>
                    <w14:schemeClr w14:val="tx1"/>
                  </w14:solidFill>
                </w14:textFill>
              </w:rPr>
              <w:t>文件服务器</w:t>
            </w:r>
          </w:p>
        </w:tc>
        <w:tc>
          <w:tcPr>
            <w:tcW w:w="1078"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w:t>
            </w:r>
          </w:p>
        </w:tc>
        <w:tc>
          <w:tcPr>
            <w:tcW w:w="1080"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8</w:t>
            </w:r>
            <w:r>
              <w:rPr>
                <w:rFonts w:hint="eastAsia" w:ascii="宋体" w:hAnsi="宋体" w:eastAsia="宋体" w:cs="宋体"/>
                <w:color w:val="000000" w:themeColor="text1"/>
                <w:kern w:val="0"/>
                <w:sz w:val="21"/>
                <w:szCs w:val="21"/>
                <w14:textFill>
                  <w14:solidFill>
                    <w14:schemeClr w14:val="tx1"/>
                  </w14:solidFill>
                </w14:textFill>
              </w:rPr>
              <w:t>核心</w:t>
            </w:r>
          </w:p>
        </w:tc>
        <w:tc>
          <w:tcPr>
            <w:tcW w:w="1080"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14:textFill>
                  <w14:solidFill>
                    <w14:schemeClr w14:val="tx1"/>
                  </w14:solidFill>
                </w14:textFill>
              </w:rPr>
              <w:t>16G</w:t>
            </w:r>
          </w:p>
        </w:tc>
        <w:tc>
          <w:tcPr>
            <w:tcW w:w="1081"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lang w:val="en-US"/>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1024G</w:t>
            </w:r>
          </w:p>
        </w:tc>
        <w:tc>
          <w:tcPr>
            <w:tcW w:w="2627" w:type="dxa"/>
            <w:tcBorders>
              <w:top w:val="nil"/>
              <w:left w:val="nil"/>
              <w:bottom w:val="single" w:color="auto" w:sz="4" w:space="0"/>
              <w:right w:val="single" w:color="auto" w:sz="4" w:space="0"/>
            </w:tcBorders>
            <w:shd w:val="clear" w:color="auto" w:fill="auto"/>
            <w:noWrap/>
            <w:vAlign w:val="center"/>
          </w:tcPr>
          <w:p>
            <w:pPr>
              <w:widowControl/>
              <w:snapToGrid/>
              <w:spacing w:beforeAutospacing="0" w:after="0" w:afterAutospacing="0" w:line="240" w:lineRule="auto"/>
              <w:ind w:firstLine="0" w:firstLineChars="0"/>
              <w:jc w:val="center"/>
              <w:rPr>
                <w:rFonts w:hint="eastAsia" w:ascii="宋体" w:hAnsi="宋体" w:eastAsia="宋体" w:cs="宋体"/>
                <w:color w:val="000000" w:themeColor="text1"/>
                <w:kern w:val="0"/>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14:textFill>
                  <w14:solidFill>
                    <w14:schemeClr w14:val="tx1"/>
                  </w14:solidFill>
                </w14:textFill>
              </w:rPr>
              <w:t>银河麒麟</w:t>
            </w:r>
          </w:p>
        </w:tc>
      </w:tr>
    </w:tbl>
    <w:p>
      <w:pPr>
        <w:pStyle w:val="5"/>
        <w:rPr>
          <w:rFonts w:hint="eastAsia"/>
          <w:lang w:val="en-US" w:eastAsia="zh-CN"/>
        </w:rPr>
      </w:pPr>
    </w:p>
    <w:p>
      <w:pPr>
        <w:pStyle w:val="6"/>
        <w:rPr>
          <w:rFonts w:cs="宋体" w:asciiTheme="minorEastAsia" w:hAnsiTheme="minorEastAsia" w:eastAsiaTheme="minorEastAsia"/>
          <w:sz w:val="24"/>
          <w:szCs w:val="24"/>
        </w:rPr>
      </w:pPr>
      <w:bookmarkStart w:id="75" w:name="_Toc24061"/>
      <w:r>
        <w:rPr>
          <w:rFonts w:hint="eastAsia" w:cs="宋体" w:asciiTheme="minorEastAsia" w:hAnsiTheme="minorEastAsia" w:eastAsiaTheme="minorEastAsia"/>
          <w:sz w:val="24"/>
          <w:szCs w:val="24"/>
        </w:rPr>
        <w:t>性能需求</w:t>
      </w:r>
      <w:bookmarkEnd w:id="75"/>
    </w:p>
    <w:p>
      <w:pPr>
        <w:pStyle w:val="17"/>
        <w:spacing w:line="560" w:lineRule="exact"/>
        <w:ind w:firstLine="480" w:firstLineChars="200"/>
        <w:rPr>
          <w:rFonts w:hint="eastAsia" w:ascii="宋体" w:hAnsi="宋体" w:cs="宋体"/>
          <w:sz w:val="24"/>
          <w:szCs w:val="24"/>
        </w:rPr>
      </w:pPr>
      <w:bookmarkStart w:id="76" w:name="_Toc25589"/>
      <w:r>
        <w:rPr>
          <w:rFonts w:hint="eastAsia" w:ascii="宋体" w:hAnsi="宋体" w:cs="宋体"/>
          <w:sz w:val="24"/>
          <w:szCs w:val="24"/>
        </w:rPr>
        <w:t>系统具有高可用性，支持负载均衡，保证系统运行稳定，具有良好的备份机制，确保数据不因意外情况丢失或损坏。</w:t>
      </w:r>
    </w:p>
    <w:p>
      <w:pPr>
        <w:pStyle w:val="17"/>
        <w:spacing w:line="560" w:lineRule="exact"/>
        <w:ind w:firstLine="480" w:firstLineChars="200"/>
        <w:rPr>
          <w:rFonts w:hint="eastAsia" w:ascii="宋体" w:hAnsi="宋体" w:cs="宋体"/>
          <w:sz w:val="24"/>
          <w:szCs w:val="24"/>
        </w:rPr>
      </w:pPr>
      <w:r>
        <w:rPr>
          <w:rFonts w:hint="eastAsia" w:ascii="宋体" w:hAnsi="宋体" w:cs="宋体"/>
          <w:sz w:val="24"/>
          <w:szCs w:val="24"/>
        </w:rPr>
        <w:t>系统具有高可靠性和高可扩展性，发生高频查询时，也能保持良好的响应时间，不能影响管理部门的正常操作；</w:t>
      </w:r>
    </w:p>
    <w:p>
      <w:pPr>
        <w:pStyle w:val="17"/>
        <w:spacing w:line="56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系统各模块、典型事件的响应时间符合用户需求</w:t>
      </w:r>
      <w:r>
        <w:rPr>
          <w:rFonts w:hint="eastAsia" w:ascii="宋体" w:hAnsi="宋体" w:cs="宋体"/>
          <w:sz w:val="24"/>
          <w:szCs w:val="24"/>
          <w:lang w:val="en-US" w:eastAsia="zh-CN"/>
        </w:rPr>
        <w:t>;系统性能指标如下所示：</w:t>
      </w:r>
    </w:p>
    <w:p>
      <w:pPr>
        <w:pStyle w:val="17"/>
        <w:numPr>
          <w:ilvl w:val="0"/>
          <w:numId w:val="24"/>
        </w:numPr>
        <w:spacing w:after="0" w:line="560" w:lineRule="exact"/>
        <w:ind w:left="840" w:leftChars="0" w:hanging="420" w:firstLineChars="0"/>
        <w:rPr>
          <w:rFonts w:hint="default" w:ascii="宋体" w:hAnsi="宋体" w:cs="宋体"/>
          <w:sz w:val="24"/>
          <w:szCs w:val="24"/>
          <w:lang w:val="en-US" w:eastAsia="zh-CN"/>
        </w:rPr>
      </w:pPr>
      <w:r>
        <w:rPr>
          <w:rFonts w:hint="eastAsia" w:ascii="宋体" w:hAnsi="宋体" w:cs="宋体"/>
          <w:sz w:val="24"/>
          <w:szCs w:val="24"/>
          <w:lang w:val="en-US" w:eastAsia="zh-CN"/>
        </w:rPr>
        <w:t>数据库并发访问能力：</w:t>
      </w:r>
      <w:r>
        <w:rPr>
          <w:rFonts w:hint="eastAsia" w:ascii="宋体" w:hAnsi="宋体" w:cs="宋体"/>
          <w:sz w:val="24"/>
          <w:szCs w:val="24"/>
        </w:rPr>
        <w:t>≥</w:t>
      </w:r>
      <w:r>
        <w:rPr>
          <w:rFonts w:hint="eastAsia" w:ascii="宋体" w:hAnsi="宋体" w:cs="宋体"/>
          <w:sz w:val="24"/>
          <w:szCs w:val="24"/>
          <w:lang w:val="en-US" w:eastAsia="zh-CN"/>
        </w:rPr>
        <w:t>500；</w:t>
      </w:r>
    </w:p>
    <w:p>
      <w:pPr>
        <w:pStyle w:val="17"/>
        <w:numPr>
          <w:ilvl w:val="0"/>
          <w:numId w:val="24"/>
        </w:numPr>
        <w:spacing w:after="0" w:line="560" w:lineRule="exact"/>
        <w:ind w:left="840" w:leftChars="0" w:hanging="420" w:firstLineChars="0"/>
        <w:rPr>
          <w:rFonts w:hint="default" w:ascii="宋体" w:hAnsi="宋体" w:cs="宋体"/>
          <w:sz w:val="24"/>
          <w:szCs w:val="24"/>
          <w:lang w:val="en-US" w:eastAsia="zh-CN"/>
        </w:rPr>
      </w:pPr>
      <w:r>
        <w:rPr>
          <w:rFonts w:hint="eastAsia" w:ascii="宋体" w:hAnsi="宋体" w:cs="宋体"/>
          <w:sz w:val="24"/>
          <w:szCs w:val="24"/>
          <w:lang w:val="en-US" w:eastAsia="zh-CN"/>
        </w:rPr>
        <w:t>系统并非访问能力：</w:t>
      </w:r>
      <w:r>
        <w:rPr>
          <w:rFonts w:hint="eastAsia" w:ascii="宋体" w:hAnsi="宋体" w:cs="宋体"/>
          <w:sz w:val="24"/>
          <w:szCs w:val="24"/>
        </w:rPr>
        <w:t>≥</w:t>
      </w:r>
      <w:r>
        <w:rPr>
          <w:rFonts w:hint="eastAsia" w:ascii="宋体" w:hAnsi="宋体" w:cs="宋体"/>
          <w:sz w:val="24"/>
          <w:szCs w:val="24"/>
          <w:lang w:val="en-US" w:eastAsia="zh-CN"/>
        </w:rPr>
        <w:t>500；</w:t>
      </w:r>
    </w:p>
    <w:p>
      <w:pPr>
        <w:pStyle w:val="17"/>
        <w:numPr>
          <w:ilvl w:val="0"/>
          <w:numId w:val="24"/>
        </w:numPr>
        <w:spacing w:after="0" w:line="560" w:lineRule="exact"/>
        <w:ind w:left="840" w:leftChars="0" w:hanging="420" w:firstLineChars="0"/>
        <w:rPr>
          <w:rFonts w:hint="eastAsia" w:ascii="宋体" w:hAnsi="宋体" w:cs="宋体"/>
          <w:sz w:val="24"/>
          <w:szCs w:val="24"/>
          <w:lang w:val="en-US" w:eastAsia="zh-CN"/>
        </w:rPr>
      </w:pPr>
      <w:r>
        <w:rPr>
          <w:rFonts w:hint="eastAsia" w:ascii="宋体" w:hAnsi="宋体" w:cs="宋体"/>
          <w:sz w:val="24"/>
          <w:szCs w:val="24"/>
          <w:lang w:val="en-US" w:eastAsia="zh-CN"/>
        </w:rPr>
        <w:t>平稳运行时间：7x24h；</w:t>
      </w:r>
    </w:p>
    <w:p>
      <w:pPr>
        <w:pStyle w:val="17"/>
        <w:numPr>
          <w:ilvl w:val="0"/>
          <w:numId w:val="24"/>
        </w:numPr>
        <w:spacing w:after="0" w:line="560" w:lineRule="exact"/>
        <w:ind w:left="840" w:leftChars="0" w:hanging="420" w:firstLineChars="0"/>
        <w:rPr>
          <w:rFonts w:hint="eastAsia" w:ascii="宋体" w:hAnsi="宋体" w:cs="宋体"/>
          <w:sz w:val="24"/>
          <w:szCs w:val="24"/>
        </w:rPr>
      </w:pPr>
      <w:r>
        <w:rPr>
          <w:rFonts w:hint="eastAsia" w:ascii="宋体" w:hAnsi="宋体" w:cs="宋体"/>
          <w:sz w:val="24"/>
          <w:szCs w:val="24"/>
        </w:rPr>
        <w:t>交互性操作平均响应时间：1-1.5秒；</w:t>
      </w:r>
    </w:p>
    <w:p>
      <w:pPr>
        <w:pStyle w:val="17"/>
        <w:numPr>
          <w:ilvl w:val="0"/>
          <w:numId w:val="24"/>
        </w:numPr>
        <w:spacing w:after="0" w:line="560" w:lineRule="exact"/>
        <w:ind w:left="840" w:leftChars="0" w:hanging="420" w:firstLineChars="0"/>
        <w:rPr>
          <w:rFonts w:hint="eastAsia" w:ascii="宋体" w:hAnsi="宋体" w:cs="宋体"/>
          <w:sz w:val="24"/>
          <w:szCs w:val="24"/>
        </w:rPr>
      </w:pPr>
      <w:r>
        <w:rPr>
          <w:rFonts w:hint="eastAsia" w:ascii="宋体" w:hAnsi="宋体" w:cs="宋体"/>
          <w:sz w:val="24"/>
          <w:szCs w:val="24"/>
        </w:rPr>
        <w:t>交互性操作最大响应时间：5秒；</w:t>
      </w:r>
    </w:p>
    <w:p>
      <w:pPr>
        <w:pStyle w:val="17"/>
        <w:numPr>
          <w:ilvl w:val="0"/>
          <w:numId w:val="24"/>
        </w:numPr>
        <w:spacing w:after="0" w:line="560" w:lineRule="exact"/>
        <w:ind w:left="840" w:leftChars="0" w:hanging="420" w:firstLineChars="0"/>
        <w:rPr>
          <w:rFonts w:hint="eastAsia" w:ascii="宋体" w:hAnsi="宋体" w:cs="宋体"/>
          <w:sz w:val="24"/>
          <w:szCs w:val="24"/>
        </w:rPr>
      </w:pPr>
      <w:r>
        <w:rPr>
          <w:rFonts w:hint="eastAsia" w:ascii="宋体" w:hAnsi="宋体" w:cs="宋体"/>
          <w:sz w:val="24"/>
          <w:szCs w:val="24"/>
        </w:rPr>
        <w:t>报表、内容平均响应时间：3秒；</w:t>
      </w:r>
    </w:p>
    <w:p>
      <w:pPr>
        <w:pStyle w:val="17"/>
        <w:numPr>
          <w:ilvl w:val="0"/>
          <w:numId w:val="24"/>
        </w:numPr>
        <w:spacing w:after="0" w:line="560" w:lineRule="exact"/>
        <w:ind w:left="840" w:leftChars="0" w:hanging="420" w:firstLineChars="0"/>
        <w:rPr>
          <w:rFonts w:hint="eastAsia" w:ascii="宋体" w:hAnsi="宋体" w:cs="宋体"/>
          <w:sz w:val="24"/>
          <w:szCs w:val="24"/>
        </w:rPr>
      </w:pPr>
      <w:r>
        <w:rPr>
          <w:rFonts w:hint="eastAsia" w:ascii="宋体" w:hAnsi="宋体" w:cs="宋体"/>
          <w:sz w:val="24"/>
          <w:szCs w:val="24"/>
        </w:rPr>
        <w:t>报表、内容最大响应时间：30秒；</w:t>
      </w:r>
    </w:p>
    <w:p>
      <w:pPr>
        <w:pStyle w:val="17"/>
        <w:numPr>
          <w:ilvl w:val="0"/>
          <w:numId w:val="24"/>
        </w:numPr>
        <w:spacing w:after="0" w:line="560" w:lineRule="exact"/>
        <w:ind w:left="840" w:leftChars="0" w:hanging="420" w:firstLineChars="0"/>
        <w:rPr>
          <w:rFonts w:hint="eastAsia" w:ascii="宋体" w:hAnsi="宋体" w:cs="宋体"/>
          <w:sz w:val="24"/>
          <w:szCs w:val="24"/>
        </w:rPr>
      </w:pPr>
      <w:r>
        <w:rPr>
          <w:rFonts w:hint="eastAsia" w:ascii="宋体" w:hAnsi="宋体" w:cs="宋体"/>
          <w:sz w:val="24"/>
          <w:szCs w:val="24"/>
        </w:rPr>
        <w:t>内容平均检索时间：≤5秒。</w:t>
      </w:r>
    </w:p>
    <w:p>
      <w:pPr>
        <w:pStyle w:val="6"/>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安全性和可靠性</w:t>
      </w:r>
      <w:bookmarkEnd w:id="76"/>
    </w:p>
    <w:p>
      <w:pPr>
        <w:pStyle w:val="17"/>
        <w:spacing w:after="0" w:line="560" w:lineRule="exact"/>
        <w:ind w:firstLine="480" w:firstLineChars="200"/>
        <w:rPr>
          <w:rFonts w:ascii="宋体" w:hAnsi="宋体" w:cs="宋体"/>
          <w:sz w:val="24"/>
          <w:szCs w:val="24"/>
        </w:rPr>
      </w:pPr>
      <w:r>
        <w:rPr>
          <w:rFonts w:hint="eastAsia" w:ascii="宋体" w:hAnsi="宋体" w:cs="宋体"/>
          <w:sz w:val="24"/>
          <w:szCs w:val="24"/>
        </w:rPr>
        <w:t>系统符合国家网络安全体系的管理要求。系统关键信息的传输、存储、使用等使用强加密，禁止使用弱加密（base64\md5等）方式，实现关键信息的加解密保存；保障数据完整，防止信息被非法修改。</w:t>
      </w:r>
    </w:p>
    <w:p>
      <w:pPr>
        <w:pStyle w:val="17"/>
        <w:spacing w:after="0" w:line="560" w:lineRule="exact"/>
        <w:ind w:firstLine="480" w:firstLineChars="200"/>
        <w:rPr>
          <w:rFonts w:hint="eastAsia" w:ascii="宋体" w:hAnsi="宋体" w:cs="宋体"/>
          <w:sz w:val="24"/>
          <w:szCs w:val="24"/>
        </w:rPr>
      </w:pPr>
      <w:r>
        <w:rPr>
          <w:rFonts w:hint="eastAsia" w:ascii="宋体" w:hAnsi="宋体" w:cs="宋体"/>
          <w:sz w:val="24"/>
          <w:szCs w:val="24"/>
        </w:rPr>
        <w:t>系统运行稳定、功能可靠。支持通过容错、故障恢复等方式，实现在系统发生故障时仍能保持正常工作。对于规范要求以外的输入能够判断出其不符合规范要求，并能具备合理的处理方式。</w:t>
      </w:r>
    </w:p>
    <w:p>
      <w:pPr>
        <w:pStyle w:val="17"/>
        <w:spacing w:after="0" w:line="560" w:lineRule="exact"/>
        <w:ind w:firstLine="480" w:firstLineChars="200"/>
        <w:rPr>
          <w:rFonts w:hint="eastAsia" w:ascii="宋体" w:hAnsi="宋体" w:cs="宋体"/>
          <w:sz w:val="24"/>
          <w:szCs w:val="24"/>
        </w:rPr>
      </w:pPr>
      <w:r>
        <w:rPr>
          <w:rFonts w:hint="eastAsia" w:ascii="宋体" w:hAnsi="宋体" w:cs="宋体"/>
          <w:sz w:val="24"/>
          <w:szCs w:val="24"/>
        </w:rPr>
        <w:t>系统支持双机热备，单台设备的故障不影响业务进行，实现故障恢复不中断业务服务。</w:t>
      </w:r>
    </w:p>
    <w:p>
      <w:pPr>
        <w:pStyle w:val="17"/>
        <w:spacing w:after="0" w:line="56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系统支持系统主机、操作系统、网络、数据库7×24小时平稳运行；</w:t>
      </w:r>
      <w:r>
        <w:rPr>
          <w:rFonts w:hint="eastAsia" w:ascii="宋体" w:hAnsi="宋体" w:cs="宋体"/>
          <w:sz w:val="24"/>
          <w:szCs w:val="24"/>
          <w:lang w:val="en-US" w:eastAsia="zh-CN"/>
        </w:rPr>
        <w:t>系统业务及各项指标响应时间如下：</w:t>
      </w:r>
    </w:p>
    <w:p>
      <w:pPr>
        <w:pStyle w:val="17"/>
        <w:numPr>
          <w:ilvl w:val="0"/>
          <w:numId w:val="24"/>
        </w:numPr>
        <w:spacing w:after="0" w:line="560" w:lineRule="exact"/>
        <w:ind w:left="840" w:leftChars="0" w:hanging="420" w:firstLineChars="0"/>
        <w:rPr>
          <w:rFonts w:hint="eastAsia" w:ascii="宋体" w:hAnsi="宋体" w:cs="宋体"/>
          <w:sz w:val="24"/>
          <w:szCs w:val="24"/>
        </w:rPr>
      </w:pPr>
      <w:r>
        <w:rPr>
          <w:rFonts w:hint="eastAsia" w:ascii="宋体" w:hAnsi="宋体" w:cs="宋体"/>
          <w:sz w:val="24"/>
          <w:szCs w:val="24"/>
        </w:rPr>
        <w:t>业务的可用性应达到99.9%；</w:t>
      </w:r>
    </w:p>
    <w:p>
      <w:pPr>
        <w:pStyle w:val="17"/>
        <w:numPr>
          <w:ilvl w:val="0"/>
          <w:numId w:val="24"/>
        </w:numPr>
        <w:spacing w:after="0" w:line="560" w:lineRule="exact"/>
        <w:ind w:left="840" w:leftChars="0" w:hanging="420" w:firstLineChars="0"/>
        <w:rPr>
          <w:rFonts w:hint="eastAsia" w:ascii="宋体" w:hAnsi="宋体" w:cs="宋体"/>
          <w:sz w:val="24"/>
          <w:szCs w:val="24"/>
        </w:rPr>
      </w:pPr>
      <w:r>
        <w:rPr>
          <w:rFonts w:hint="eastAsia" w:ascii="宋体" w:hAnsi="宋体" w:cs="宋体"/>
          <w:sz w:val="24"/>
          <w:szCs w:val="24"/>
        </w:rPr>
        <w:t>MTBF（平均故障间隔）≥6个月；</w:t>
      </w:r>
    </w:p>
    <w:p>
      <w:pPr>
        <w:pStyle w:val="17"/>
        <w:numPr>
          <w:ilvl w:val="0"/>
          <w:numId w:val="24"/>
        </w:numPr>
        <w:spacing w:after="0" w:line="560" w:lineRule="exact"/>
        <w:ind w:left="840" w:leftChars="0" w:hanging="420" w:firstLineChars="0"/>
        <w:rPr>
          <w:rFonts w:hint="eastAsia" w:ascii="宋体" w:hAnsi="宋体" w:cs="宋体"/>
          <w:sz w:val="24"/>
          <w:szCs w:val="24"/>
        </w:rPr>
      </w:pPr>
      <w:r>
        <w:rPr>
          <w:rFonts w:hint="eastAsia" w:ascii="宋体" w:hAnsi="宋体" w:cs="宋体"/>
          <w:sz w:val="24"/>
          <w:szCs w:val="24"/>
        </w:rPr>
        <w:t>MTTR（平均修复时间）≤1小时</w:t>
      </w:r>
      <w:r>
        <w:rPr>
          <w:rFonts w:hint="eastAsia" w:ascii="宋体" w:hAnsi="宋体" w:cs="宋体"/>
          <w:sz w:val="24"/>
          <w:szCs w:val="24"/>
          <w:lang w:eastAsia="zh-CN"/>
        </w:rPr>
        <w:t>。</w:t>
      </w:r>
    </w:p>
    <w:p>
      <w:pPr>
        <w:pStyle w:val="6"/>
        <w:rPr>
          <w:rFonts w:hint="eastAsia" w:cs="宋体" w:asciiTheme="minorEastAsia" w:hAnsiTheme="minorEastAsia" w:eastAsiaTheme="minorEastAsia"/>
          <w:sz w:val="24"/>
          <w:szCs w:val="24"/>
        </w:rPr>
      </w:pPr>
      <w:bookmarkStart w:id="77" w:name="_Toc16531"/>
      <w:r>
        <w:rPr>
          <w:rFonts w:hint="eastAsia" w:cs="宋体" w:asciiTheme="minorEastAsia" w:hAnsiTheme="minorEastAsia" w:eastAsiaTheme="minorEastAsia"/>
          <w:sz w:val="24"/>
          <w:szCs w:val="24"/>
        </w:rPr>
        <w:t>集成与接口需求</w:t>
      </w:r>
      <w:bookmarkEnd w:id="77"/>
    </w:p>
    <w:p>
      <w:pPr>
        <w:pStyle w:val="7"/>
        <w:rPr>
          <w:rFonts w:hint="eastAsia"/>
        </w:rPr>
      </w:pPr>
      <w:bookmarkStart w:id="78" w:name="_Toc27801"/>
      <w:r>
        <w:rPr>
          <w:rFonts w:hint="eastAsia"/>
          <w:lang w:val="en-US" w:eastAsia="zh-CN"/>
        </w:rPr>
        <w:t>协同办公系统</w:t>
      </w:r>
      <w:bookmarkEnd w:id="78"/>
    </w:p>
    <w:p>
      <w:pPr>
        <w:keepNext w:val="0"/>
        <w:keepLines w:val="0"/>
        <w:pageBreakBefore w:val="0"/>
        <w:widowControl w:val="0"/>
        <w:kinsoku/>
        <w:wordWrap/>
        <w:overflowPunct/>
        <w:topLinePunct w:val="0"/>
        <w:autoSpaceDE/>
        <w:autoSpaceDN/>
        <w:bidi w:val="0"/>
        <w:adjustRightInd/>
        <w:snapToGrid/>
        <w:spacing w:line="360" w:lineRule="auto"/>
        <w:ind w:firstLine="561"/>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审计法务</w:t>
      </w:r>
      <w:r>
        <w:rPr>
          <w:rFonts w:hint="eastAsia" w:ascii="宋体" w:hAnsi="宋体" w:eastAsia="宋体" w:cs="宋体"/>
          <w:sz w:val="24"/>
          <w:szCs w:val="24"/>
        </w:rPr>
        <w:t>管理系统与</w:t>
      </w:r>
      <w:r>
        <w:rPr>
          <w:rFonts w:hint="eastAsia" w:ascii="宋体" w:hAnsi="宋体" w:cs="宋体"/>
          <w:sz w:val="24"/>
          <w:szCs w:val="24"/>
          <w:lang w:val="en-US" w:eastAsia="zh-CN"/>
        </w:rPr>
        <w:t>协同办公系统门户</w:t>
      </w:r>
      <w:r>
        <w:rPr>
          <w:rFonts w:hint="eastAsia" w:ascii="宋体" w:hAnsi="宋体" w:eastAsia="宋体" w:cs="宋体"/>
          <w:sz w:val="24"/>
          <w:szCs w:val="24"/>
        </w:rPr>
        <w:t>集成，实现</w:t>
      </w:r>
      <w:r>
        <w:rPr>
          <w:rFonts w:hint="eastAsia" w:ascii="宋体" w:hAnsi="宋体" w:eastAsia="宋体" w:cs="宋体"/>
          <w:sz w:val="24"/>
          <w:szCs w:val="24"/>
          <w:lang w:val="en-US" w:eastAsia="zh-CN"/>
        </w:rPr>
        <w:t>审计法务管理系统</w:t>
      </w:r>
      <w:r>
        <w:rPr>
          <w:rFonts w:hint="eastAsia" w:ascii="宋体" w:hAnsi="宋体" w:eastAsia="宋体" w:cs="宋体"/>
          <w:sz w:val="24"/>
          <w:szCs w:val="24"/>
        </w:rPr>
        <w:t>通过</w:t>
      </w:r>
      <w:r>
        <w:rPr>
          <w:rFonts w:hint="eastAsia" w:ascii="宋体" w:hAnsi="宋体" w:cs="宋体"/>
          <w:sz w:val="24"/>
          <w:szCs w:val="24"/>
          <w:lang w:val="en-US" w:eastAsia="zh-CN"/>
        </w:rPr>
        <w:t>协同办公系统</w:t>
      </w:r>
      <w:r>
        <w:rPr>
          <w:rFonts w:hint="eastAsia" w:ascii="宋体" w:hAnsi="宋体" w:eastAsia="宋体" w:cs="宋体"/>
          <w:sz w:val="24"/>
          <w:szCs w:val="24"/>
        </w:rPr>
        <w:t>门户进行统一认证和单点登录的功能</w:t>
      </w:r>
      <w:r>
        <w:rPr>
          <w:rFonts w:hint="eastAsia" w:ascii="宋体" w:hAnsi="宋体" w:cs="宋体"/>
          <w:sz w:val="24"/>
          <w:szCs w:val="24"/>
          <w:lang w:eastAsia="zh-CN"/>
        </w:rPr>
        <w:t>，</w:t>
      </w:r>
      <w:r>
        <w:rPr>
          <w:rFonts w:hint="eastAsia" w:ascii="宋体" w:hAnsi="宋体" w:cs="宋体"/>
          <w:sz w:val="24"/>
          <w:szCs w:val="24"/>
          <w:lang w:val="en-US" w:eastAsia="zh-CN"/>
        </w:rPr>
        <w:t>实现</w:t>
      </w:r>
      <w:r>
        <w:rPr>
          <w:rFonts w:hint="eastAsia" w:ascii="宋体" w:hAnsi="宋体" w:eastAsia="宋体" w:cs="宋体"/>
          <w:sz w:val="24"/>
          <w:szCs w:val="24"/>
        </w:rPr>
        <w:t>通过</w:t>
      </w:r>
      <w:r>
        <w:rPr>
          <w:rFonts w:hint="eastAsia" w:ascii="宋体" w:hAnsi="宋体" w:eastAsia="宋体" w:cs="宋体"/>
          <w:sz w:val="24"/>
          <w:szCs w:val="24"/>
          <w:lang w:val="en-US" w:eastAsia="zh-CN"/>
        </w:rPr>
        <w:t>协同办公系统</w:t>
      </w:r>
      <w:r>
        <w:rPr>
          <w:rFonts w:hint="eastAsia" w:ascii="宋体" w:hAnsi="宋体" w:cs="宋体"/>
          <w:sz w:val="24"/>
          <w:szCs w:val="24"/>
          <w:lang w:val="en-US" w:eastAsia="zh-CN"/>
        </w:rPr>
        <w:t>同步</w:t>
      </w:r>
      <w:r>
        <w:rPr>
          <w:rFonts w:hint="eastAsia" w:ascii="宋体" w:hAnsi="宋体" w:eastAsia="宋体" w:cs="宋体"/>
          <w:sz w:val="24"/>
          <w:szCs w:val="24"/>
        </w:rPr>
        <w:t>公司组织架构、人员等信息。</w:t>
      </w:r>
    </w:p>
    <w:p>
      <w:pPr>
        <w:keepNext w:val="0"/>
        <w:keepLines w:val="0"/>
        <w:pageBreakBefore w:val="0"/>
        <w:widowControl w:val="0"/>
        <w:kinsoku/>
        <w:wordWrap/>
        <w:overflowPunct/>
        <w:topLinePunct w:val="0"/>
        <w:autoSpaceDE/>
        <w:autoSpaceDN/>
        <w:bidi w:val="0"/>
        <w:adjustRightInd/>
        <w:snapToGrid/>
        <w:spacing w:line="360" w:lineRule="auto"/>
        <w:ind w:firstLine="561"/>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审计法务</w:t>
      </w:r>
      <w:r>
        <w:rPr>
          <w:rFonts w:hint="eastAsia" w:ascii="宋体" w:hAnsi="宋体" w:eastAsia="宋体" w:cs="宋体"/>
          <w:sz w:val="24"/>
          <w:szCs w:val="24"/>
        </w:rPr>
        <w:t>管理系统与移动门户（</w:t>
      </w:r>
      <w:r>
        <w:rPr>
          <w:rFonts w:hint="eastAsia" w:ascii="宋体" w:hAnsi="宋体" w:eastAsia="宋体" w:cs="宋体"/>
          <w:sz w:val="24"/>
          <w:szCs w:val="24"/>
          <w:lang w:val="en-US" w:eastAsia="zh-CN"/>
        </w:rPr>
        <w:t>致信</w:t>
      </w:r>
      <w:r>
        <w:rPr>
          <w:rFonts w:hint="eastAsia" w:ascii="宋体" w:hAnsi="宋体" w:eastAsia="宋体" w:cs="宋体"/>
          <w:sz w:val="24"/>
          <w:szCs w:val="24"/>
        </w:rPr>
        <w:t>）集成，实现</w:t>
      </w:r>
      <w:r>
        <w:rPr>
          <w:rFonts w:hint="eastAsia" w:ascii="宋体" w:hAnsi="宋体" w:eastAsia="宋体" w:cs="宋体"/>
          <w:sz w:val="24"/>
          <w:szCs w:val="24"/>
          <w:lang w:val="en-US" w:eastAsia="zh-CN"/>
        </w:rPr>
        <w:t>审计法务管理系统</w:t>
      </w:r>
      <w:r>
        <w:rPr>
          <w:rFonts w:hint="eastAsia" w:ascii="宋体" w:hAnsi="宋体" w:eastAsia="宋体" w:cs="宋体"/>
          <w:sz w:val="24"/>
          <w:szCs w:val="24"/>
        </w:rPr>
        <w:t>的消息通过</w:t>
      </w:r>
      <w:r>
        <w:rPr>
          <w:rFonts w:hint="eastAsia" w:ascii="宋体" w:hAnsi="宋体" w:eastAsia="宋体" w:cs="宋体"/>
          <w:sz w:val="24"/>
          <w:szCs w:val="24"/>
          <w:lang w:val="en-US" w:eastAsia="zh-CN"/>
        </w:rPr>
        <w:t>致信</w:t>
      </w:r>
      <w:r>
        <w:rPr>
          <w:rFonts w:hint="eastAsia" w:ascii="宋体" w:hAnsi="宋体" w:eastAsia="宋体" w:cs="宋体"/>
          <w:sz w:val="24"/>
          <w:szCs w:val="24"/>
        </w:rPr>
        <w:t>消息推送的功能。</w:t>
      </w:r>
    </w:p>
    <w:p>
      <w:pPr>
        <w:pStyle w:val="7"/>
        <w:rPr>
          <w:rFonts w:hint="eastAsia"/>
        </w:rPr>
      </w:pPr>
      <w:r>
        <w:rPr>
          <w:rFonts w:hint="eastAsia"/>
          <w:lang w:val="en-US" w:eastAsia="zh-CN"/>
        </w:rPr>
        <w:t>投资管理系统</w:t>
      </w:r>
    </w:p>
    <w:p>
      <w:pPr>
        <w:keepNext w:val="0"/>
        <w:keepLines w:val="0"/>
        <w:pageBreakBefore w:val="0"/>
        <w:widowControl w:val="0"/>
        <w:kinsoku/>
        <w:wordWrap/>
        <w:overflowPunct/>
        <w:topLinePunct w:val="0"/>
        <w:autoSpaceDE/>
        <w:autoSpaceDN/>
        <w:bidi w:val="0"/>
        <w:adjustRightInd/>
        <w:snapToGrid/>
        <w:spacing w:line="360" w:lineRule="auto"/>
        <w:ind w:firstLine="561"/>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审计法务管理系统与</w:t>
      </w:r>
      <w:r>
        <w:rPr>
          <w:rFonts w:hint="eastAsia" w:ascii="宋体" w:hAnsi="宋体" w:cs="宋体"/>
          <w:sz w:val="24"/>
          <w:szCs w:val="24"/>
          <w:lang w:val="en-US" w:eastAsia="zh-CN"/>
        </w:rPr>
        <w:t>投资管理系统</w:t>
      </w:r>
      <w:r>
        <w:rPr>
          <w:rFonts w:hint="eastAsia" w:ascii="宋体" w:hAnsi="宋体" w:eastAsia="宋体" w:cs="宋体"/>
          <w:sz w:val="24"/>
          <w:szCs w:val="24"/>
          <w:lang w:val="en-US" w:eastAsia="zh-CN"/>
        </w:rPr>
        <w:t>集成，实现从</w:t>
      </w:r>
      <w:r>
        <w:rPr>
          <w:rFonts w:hint="eastAsia" w:ascii="宋体" w:hAnsi="宋体" w:cs="宋体"/>
          <w:sz w:val="24"/>
          <w:szCs w:val="24"/>
          <w:lang w:val="en-US" w:eastAsia="zh-CN"/>
        </w:rPr>
        <w:t>投资管理系统</w:t>
      </w:r>
      <w:r>
        <w:rPr>
          <w:rFonts w:hint="eastAsia" w:ascii="宋体" w:hAnsi="宋体" w:eastAsia="宋体" w:cs="宋体"/>
          <w:sz w:val="24"/>
          <w:szCs w:val="24"/>
          <w:lang w:val="en-US" w:eastAsia="zh-CN"/>
        </w:rPr>
        <w:t>同步合同台账数据、验工计价统计数据、工程变更统计数据、线路奖罚台账数据到审计法务管理系统，通过配置风险预警规则，支持风险预警。</w:t>
      </w:r>
    </w:p>
    <w:p>
      <w:pPr>
        <w:pStyle w:val="7"/>
        <w:rPr>
          <w:rFonts w:hint="eastAsia" w:ascii="Times New Roman" w:hAnsi="Times New Roman" w:eastAsia="宋体" w:cs="Times New Roman"/>
          <w:b/>
          <w:bCs/>
          <w:kern w:val="2"/>
          <w:sz w:val="24"/>
          <w:szCs w:val="24"/>
          <w:lang w:val="en-US" w:eastAsia="zh-CN" w:bidi="ar-SA"/>
        </w:rPr>
      </w:pPr>
      <w:bookmarkStart w:id="79" w:name="_Toc21371"/>
      <w:r>
        <w:rPr>
          <w:rFonts w:hint="eastAsia" w:cs="Times New Roman"/>
          <w:b/>
          <w:bCs/>
          <w:kern w:val="2"/>
          <w:sz w:val="24"/>
          <w:szCs w:val="24"/>
          <w:lang w:val="en-US" w:eastAsia="zh-CN" w:bidi="ar-SA"/>
        </w:rPr>
        <w:t>BIM建管平台</w:t>
      </w:r>
    </w:p>
    <w:p>
      <w:pPr>
        <w:keepNext w:val="0"/>
        <w:keepLines w:val="0"/>
        <w:pageBreakBefore w:val="0"/>
        <w:widowControl w:val="0"/>
        <w:kinsoku/>
        <w:wordWrap/>
        <w:overflowPunct/>
        <w:topLinePunct w:val="0"/>
        <w:autoSpaceDE/>
        <w:autoSpaceDN/>
        <w:bidi w:val="0"/>
        <w:adjustRightInd/>
        <w:snapToGrid/>
        <w:spacing w:line="360" w:lineRule="auto"/>
        <w:ind w:firstLine="561"/>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审计法务管理系统与</w:t>
      </w:r>
      <w:r>
        <w:rPr>
          <w:rFonts w:hint="eastAsia" w:ascii="宋体" w:hAnsi="宋体" w:cs="宋体"/>
          <w:sz w:val="24"/>
          <w:szCs w:val="24"/>
          <w:lang w:val="en-US" w:eastAsia="zh-CN"/>
        </w:rPr>
        <w:t>BIM建管系统</w:t>
      </w:r>
      <w:r>
        <w:rPr>
          <w:rFonts w:hint="eastAsia" w:ascii="宋体" w:hAnsi="宋体" w:eastAsia="宋体" w:cs="宋体"/>
          <w:sz w:val="24"/>
          <w:szCs w:val="24"/>
          <w:lang w:val="en-US" w:eastAsia="zh-CN"/>
        </w:rPr>
        <w:t>集成，实现从</w:t>
      </w:r>
      <w:r>
        <w:rPr>
          <w:rFonts w:hint="eastAsia" w:ascii="宋体" w:hAnsi="宋体" w:cs="宋体"/>
          <w:sz w:val="24"/>
          <w:szCs w:val="24"/>
          <w:lang w:val="en-US" w:eastAsia="zh-CN"/>
        </w:rPr>
        <w:t>BIM建管平台</w:t>
      </w:r>
      <w:r>
        <w:rPr>
          <w:rFonts w:hint="eastAsia" w:ascii="宋体" w:hAnsi="宋体" w:eastAsia="宋体" w:cs="宋体"/>
          <w:sz w:val="24"/>
          <w:szCs w:val="24"/>
          <w:lang w:val="en-US" w:eastAsia="zh-CN"/>
        </w:rPr>
        <w:t>同步</w:t>
      </w:r>
      <w:r>
        <w:rPr>
          <w:rFonts w:hint="eastAsia" w:ascii="宋体" w:hAnsi="宋体" w:cs="宋体"/>
          <w:sz w:val="24"/>
          <w:szCs w:val="24"/>
          <w:lang w:val="en-US" w:eastAsia="zh-CN"/>
        </w:rPr>
        <w:t>项目进度数</w:t>
      </w:r>
      <w:r>
        <w:rPr>
          <w:rFonts w:hint="eastAsia" w:ascii="宋体" w:hAnsi="宋体" w:eastAsia="宋体" w:cs="宋体"/>
          <w:sz w:val="24"/>
          <w:szCs w:val="24"/>
          <w:lang w:val="en-US" w:eastAsia="zh-CN"/>
        </w:rPr>
        <w:t>据、</w:t>
      </w:r>
      <w:r>
        <w:rPr>
          <w:rFonts w:hint="eastAsia" w:ascii="宋体" w:hAnsi="宋体" w:cs="宋体"/>
          <w:sz w:val="24"/>
          <w:szCs w:val="24"/>
          <w:lang w:val="en-US" w:eastAsia="zh-CN"/>
        </w:rPr>
        <w:t>项目验收</w:t>
      </w:r>
      <w:r>
        <w:rPr>
          <w:rFonts w:hint="eastAsia" w:ascii="宋体" w:hAnsi="宋体" w:eastAsia="宋体" w:cs="宋体"/>
          <w:sz w:val="24"/>
          <w:szCs w:val="24"/>
          <w:lang w:val="en-US" w:eastAsia="zh-CN"/>
        </w:rPr>
        <w:t>数据、</w:t>
      </w:r>
      <w:r>
        <w:rPr>
          <w:rFonts w:hint="eastAsia" w:ascii="宋体" w:hAnsi="宋体" w:cs="宋体"/>
          <w:sz w:val="24"/>
          <w:szCs w:val="24"/>
          <w:lang w:val="en-US" w:eastAsia="zh-CN"/>
        </w:rPr>
        <w:t>质量问题</w:t>
      </w:r>
      <w:r>
        <w:rPr>
          <w:rFonts w:hint="eastAsia" w:ascii="宋体" w:hAnsi="宋体" w:eastAsia="宋体" w:cs="宋体"/>
          <w:sz w:val="24"/>
          <w:szCs w:val="24"/>
          <w:lang w:val="en-US" w:eastAsia="zh-CN"/>
        </w:rPr>
        <w:t>数据到审计法务管理系统</w:t>
      </w:r>
      <w:r>
        <w:rPr>
          <w:rFonts w:hint="eastAsia" w:ascii="宋体" w:hAnsi="宋体" w:cs="宋体"/>
          <w:sz w:val="24"/>
          <w:szCs w:val="24"/>
          <w:lang w:val="en-US" w:eastAsia="zh-CN"/>
        </w:rPr>
        <w:t>。</w:t>
      </w:r>
    </w:p>
    <w:p>
      <w:pPr>
        <w:pStyle w:val="7"/>
        <w:rPr>
          <w:rFonts w:hint="eastAsia"/>
        </w:rPr>
      </w:pPr>
      <w:r>
        <w:rPr>
          <w:rFonts w:hint="eastAsia"/>
          <w:lang w:val="en-US" w:eastAsia="zh-CN"/>
        </w:rPr>
        <w:t>财务管理系统</w:t>
      </w:r>
      <w:bookmarkEnd w:id="79"/>
    </w:p>
    <w:p>
      <w:pPr>
        <w:pStyle w:val="5"/>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预留审计法务管理系统与财务管理系统数据接口。</w:t>
      </w:r>
    </w:p>
    <w:sectPr>
      <w:headerReference r:id="rId5" w:type="first"/>
      <w:headerReference r:id="rId3" w:type="default"/>
      <w:footerReference r:id="rId6" w:type="default"/>
      <w:headerReference r:id="rId4" w:type="even"/>
      <w:pgSz w:w="11906" w:h="16838"/>
      <w:pgMar w:top="0" w:right="1559" w:bottom="0" w:left="1559"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Book Antiqua">
    <w:altName w:val="Segoe Print"/>
    <w:panose1 w:val="02040602050305030304"/>
    <w:charset w:val="00"/>
    <w:family w:val="roman"/>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left="840"/>
      <w:jc w:val="center"/>
      <w:rPr>
        <w:caps/>
        <w:color w:val="4F81BD" w:themeColor="accent1"/>
        <w14:textFill>
          <w14:solidFill>
            <w14:schemeClr w14:val="accent1"/>
          </w14:solidFill>
        </w14:textFill>
      </w:rPr>
    </w:pPr>
    <w:r>
      <w:rPr>
        <w:caps/>
        <w:color w:val="4F81BD" w:themeColor="accent1"/>
        <w14:textFill>
          <w14:solidFill>
            <w14:schemeClr w14:val="accent1"/>
          </w14:solidFill>
        </w14:textFill>
      </w:rPr>
      <w:fldChar w:fldCharType="begin"/>
    </w:r>
    <w:r>
      <w:rPr>
        <w:caps/>
        <w:color w:val="4F81BD" w:themeColor="accent1"/>
        <w14:textFill>
          <w14:solidFill>
            <w14:schemeClr w14:val="accent1"/>
          </w14:solidFill>
        </w14:textFill>
      </w:rPr>
      <w:instrText xml:space="preserve"> PAGE   \* MERGEFORMAT </w:instrText>
    </w:r>
    <w:r>
      <w:rPr>
        <w:caps/>
        <w:color w:val="4F81BD" w:themeColor="accent1"/>
        <w14:textFill>
          <w14:solidFill>
            <w14:schemeClr w14:val="accent1"/>
          </w14:solidFill>
        </w14:textFill>
      </w:rPr>
      <w:fldChar w:fldCharType="separate"/>
    </w:r>
    <w:r>
      <w:rPr>
        <w:caps/>
        <w:color w:val="4F81BD" w:themeColor="accent1"/>
        <w14:textFill>
          <w14:solidFill>
            <w14:schemeClr w14:val="accent1"/>
          </w14:solidFill>
        </w14:textFill>
      </w:rPr>
      <w:t>- 2 -</w:t>
    </w:r>
    <w:r>
      <w:rPr>
        <w:caps/>
        <w:color w:val="4F81BD" w:themeColor="accent1"/>
        <w14:textFill>
          <w14:solidFill>
            <w14:schemeClr w14:val="accent1"/>
          </w14:solidFill>
        </w14:textFill>
      </w:rPr>
      <w:fldChar w:fldCharType="end"/>
    </w:r>
  </w:p>
  <w:p>
    <w:pPr>
      <w:pStyle w:val="23"/>
      <w:ind w:right="360"/>
      <w:rPr>
        <w:rFonts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left"/>
      <w:rPr>
        <w:rFonts w:ascii="方正仿宋_GBK" w:eastAsia="方正仿宋_GBK"/>
        <w:sz w:val="8"/>
        <w:szCs w:val="8"/>
      </w:rPr>
    </w:pPr>
    <w:r>
      <w:t xml:space="preserve">                                               </w:t>
    </w:r>
    <w:r>
      <w:rPr>
        <w:rFonts w:hint="eastAsia" w:ascii="方正仿宋_GBK" w:hAnsi="宋体" w:eastAsia="方正仿宋_GBK"/>
        <w:sz w:val="16"/>
        <w:szCs w:val="16"/>
      </w:rPr>
      <w:t>企业管理中心信息化二期项目</w:t>
    </w:r>
  </w:p>
  <w:p>
    <w:pPr>
      <w:rPr>
        <w:rFonts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pict>
        <v:shape id="PowerPlusWaterMarkObject23961344" o:spid="_x0000_s1026" o:spt="136" type="#_x0000_t136" style="position:absolute;left:0pt;height:132.75pt;width:486.7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TYLIN Sample" style="font-family:Calibri;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pict>
        <v:shape id="PowerPlusWaterMarkObject23961343" o:spid="_x0000_s1025" o:spt="136" type="#_x0000_t136" style="position:absolute;left:0pt;height:132.75pt;width:486.75pt;mso-position-horizontal:center;mso-position-horizontal-relative:margin;mso-position-vertical:center;mso-position-vertical-relative:margin;rotation:20643840f;z-index:-251656192;mso-width-relative:page;mso-height-relative:page;" fillcolor="#C0C0C0" filled="t" stroked="f" coordsize="21600,21600" o:allowincell="f">
          <v:path/>
          <v:fill on="t" opacity="32768f" focussize="0,0"/>
          <v:stroke on="f"/>
          <v:imagedata o:title=""/>
          <o:lock v:ext="edit"/>
          <v:textpath on="t" fitshape="t" fitpath="t" trim="f" xscale="f" string="TYLIN Sample" style="font-family:Calibri;font-size:1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826617"/>
    <w:multiLevelType w:val="singleLevel"/>
    <w:tmpl w:val="AB826617"/>
    <w:lvl w:ilvl="0" w:tentative="0">
      <w:start w:val="1"/>
      <w:numFmt w:val="decimal"/>
      <w:suff w:val="nothing"/>
      <w:lvlText w:val="%1、"/>
      <w:lvlJc w:val="left"/>
    </w:lvl>
  </w:abstractNum>
  <w:abstractNum w:abstractNumId="1">
    <w:nsid w:val="B274E085"/>
    <w:multiLevelType w:val="singleLevel"/>
    <w:tmpl w:val="B274E085"/>
    <w:lvl w:ilvl="0" w:tentative="0">
      <w:start w:val="1"/>
      <w:numFmt w:val="decimal"/>
      <w:suff w:val="nothing"/>
      <w:lvlText w:val="%1、"/>
      <w:lvlJc w:val="left"/>
    </w:lvl>
  </w:abstractNum>
  <w:abstractNum w:abstractNumId="2">
    <w:nsid w:val="CA03D47C"/>
    <w:multiLevelType w:val="singleLevel"/>
    <w:tmpl w:val="CA03D47C"/>
    <w:lvl w:ilvl="0" w:tentative="0">
      <w:start w:val="1"/>
      <w:numFmt w:val="decimal"/>
      <w:suff w:val="nothing"/>
      <w:lvlText w:val="%1、"/>
      <w:lvlJc w:val="left"/>
    </w:lvl>
  </w:abstractNum>
  <w:abstractNum w:abstractNumId="3">
    <w:nsid w:val="CD752B19"/>
    <w:multiLevelType w:val="singleLevel"/>
    <w:tmpl w:val="CD752B19"/>
    <w:lvl w:ilvl="0" w:tentative="0">
      <w:start w:val="1"/>
      <w:numFmt w:val="decimal"/>
      <w:suff w:val="nothing"/>
      <w:lvlText w:val="%1、"/>
      <w:lvlJc w:val="left"/>
    </w:lvl>
  </w:abstractNum>
  <w:abstractNum w:abstractNumId="4">
    <w:nsid w:val="CE4B61E3"/>
    <w:multiLevelType w:val="singleLevel"/>
    <w:tmpl w:val="CE4B61E3"/>
    <w:lvl w:ilvl="0" w:tentative="0">
      <w:start w:val="1"/>
      <w:numFmt w:val="decimal"/>
      <w:suff w:val="nothing"/>
      <w:lvlText w:val="%1、"/>
      <w:lvlJc w:val="left"/>
    </w:lvl>
  </w:abstractNum>
  <w:abstractNum w:abstractNumId="5">
    <w:nsid w:val="CFBA4989"/>
    <w:multiLevelType w:val="singleLevel"/>
    <w:tmpl w:val="CFBA4989"/>
    <w:lvl w:ilvl="0" w:tentative="0">
      <w:start w:val="1"/>
      <w:numFmt w:val="decimal"/>
      <w:suff w:val="nothing"/>
      <w:lvlText w:val="%1、"/>
      <w:lvlJc w:val="left"/>
    </w:lvl>
  </w:abstractNum>
  <w:abstractNum w:abstractNumId="6">
    <w:nsid w:val="DB9E5B28"/>
    <w:multiLevelType w:val="singleLevel"/>
    <w:tmpl w:val="DB9E5B28"/>
    <w:lvl w:ilvl="0" w:tentative="0">
      <w:start w:val="1"/>
      <w:numFmt w:val="decimal"/>
      <w:suff w:val="nothing"/>
      <w:lvlText w:val="%1、"/>
      <w:lvlJc w:val="left"/>
    </w:lvl>
  </w:abstractNum>
  <w:abstractNum w:abstractNumId="7">
    <w:nsid w:val="F7E09A5E"/>
    <w:multiLevelType w:val="singleLevel"/>
    <w:tmpl w:val="F7E09A5E"/>
    <w:lvl w:ilvl="0" w:tentative="0">
      <w:start w:val="1"/>
      <w:numFmt w:val="decimal"/>
      <w:suff w:val="nothing"/>
      <w:lvlText w:val="%1、"/>
      <w:lvlJc w:val="left"/>
    </w:lvl>
  </w:abstractNum>
  <w:abstractNum w:abstractNumId="8">
    <w:nsid w:val="0848915D"/>
    <w:multiLevelType w:val="singleLevel"/>
    <w:tmpl w:val="0848915D"/>
    <w:lvl w:ilvl="0" w:tentative="0">
      <w:start w:val="1"/>
      <w:numFmt w:val="decimal"/>
      <w:suff w:val="nothing"/>
      <w:lvlText w:val="%1、"/>
      <w:lvlJc w:val="left"/>
    </w:lvl>
  </w:abstractNum>
  <w:abstractNum w:abstractNumId="9">
    <w:nsid w:val="0F530478"/>
    <w:multiLevelType w:val="singleLevel"/>
    <w:tmpl w:val="0F530478"/>
    <w:lvl w:ilvl="0" w:tentative="0">
      <w:start w:val="1"/>
      <w:numFmt w:val="decimal"/>
      <w:suff w:val="nothing"/>
      <w:lvlText w:val="%1、"/>
      <w:lvlJc w:val="left"/>
    </w:lvl>
  </w:abstractNum>
  <w:abstractNum w:abstractNumId="10">
    <w:nsid w:val="181B6DFB"/>
    <w:multiLevelType w:val="multilevel"/>
    <w:tmpl w:val="181B6DFB"/>
    <w:lvl w:ilvl="0" w:tentative="0">
      <w:start w:val="1"/>
      <w:numFmt w:val="bullet"/>
      <w:pStyle w:val="60"/>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cs="Wingdings"/>
      </w:rPr>
    </w:lvl>
    <w:lvl w:ilvl="2" w:tentative="0">
      <w:start w:val="1"/>
      <w:numFmt w:val="bullet"/>
      <w:lvlText w:val=""/>
      <w:lvlJc w:val="left"/>
      <w:pPr>
        <w:ind w:left="1260" w:hanging="420"/>
      </w:pPr>
      <w:rPr>
        <w:rFonts w:hint="default" w:ascii="Wingdings" w:hAnsi="Wingdings" w:cs="Wingdings"/>
      </w:rPr>
    </w:lvl>
    <w:lvl w:ilvl="3" w:tentative="0">
      <w:start w:val="1"/>
      <w:numFmt w:val="bullet"/>
      <w:lvlText w:val=""/>
      <w:lvlJc w:val="left"/>
      <w:pPr>
        <w:ind w:left="1680" w:hanging="420"/>
      </w:pPr>
      <w:rPr>
        <w:rFonts w:hint="default" w:ascii="Wingdings" w:hAnsi="Wingdings" w:cs="Wingdings"/>
      </w:rPr>
    </w:lvl>
    <w:lvl w:ilvl="4" w:tentative="0">
      <w:start w:val="1"/>
      <w:numFmt w:val="bullet"/>
      <w:lvlText w:val=""/>
      <w:lvlJc w:val="left"/>
      <w:pPr>
        <w:ind w:left="2100" w:hanging="420"/>
      </w:pPr>
      <w:rPr>
        <w:rFonts w:hint="default" w:ascii="Wingdings" w:hAnsi="Wingdings" w:cs="Wingdings"/>
      </w:rPr>
    </w:lvl>
    <w:lvl w:ilvl="5" w:tentative="0">
      <w:start w:val="1"/>
      <w:numFmt w:val="bullet"/>
      <w:lvlText w:val=""/>
      <w:lvlJc w:val="left"/>
      <w:pPr>
        <w:ind w:left="2520" w:hanging="420"/>
      </w:pPr>
      <w:rPr>
        <w:rFonts w:hint="default" w:ascii="Wingdings" w:hAnsi="Wingdings" w:cs="Wingdings"/>
      </w:rPr>
    </w:lvl>
    <w:lvl w:ilvl="6" w:tentative="0">
      <w:start w:val="1"/>
      <w:numFmt w:val="bullet"/>
      <w:lvlText w:val=""/>
      <w:lvlJc w:val="left"/>
      <w:pPr>
        <w:ind w:left="2940" w:hanging="420"/>
      </w:pPr>
      <w:rPr>
        <w:rFonts w:hint="default" w:ascii="Wingdings" w:hAnsi="Wingdings" w:cs="Wingdings"/>
      </w:rPr>
    </w:lvl>
    <w:lvl w:ilvl="7" w:tentative="0">
      <w:start w:val="1"/>
      <w:numFmt w:val="bullet"/>
      <w:lvlText w:val=""/>
      <w:lvlJc w:val="left"/>
      <w:pPr>
        <w:ind w:left="3360" w:hanging="420"/>
      </w:pPr>
      <w:rPr>
        <w:rFonts w:hint="default" w:ascii="Wingdings" w:hAnsi="Wingdings" w:cs="Wingdings"/>
      </w:rPr>
    </w:lvl>
    <w:lvl w:ilvl="8" w:tentative="0">
      <w:start w:val="1"/>
      <w:numFmt w:val="bullet"/>
      <w:lvlText w:val=""/>
      <w:lvlJc w:val="left"/>
      <w:pPr>
        <w:ind w:left="3780" w:hanging="420"/>
      </w:pPr>
      <w:rPr>
        <w:rFonts w:hint="default" w:ascii="Wingdings" w:hAnsi="Wingdings" w:cs="Wingdings"/>
      </w:rPr>
    </w:lvl>
  </w:abstractNum>
  <w:abstractNum w:abstractNumId="11">
    <w:nsid w:val="1BAA58E6"/>
    <w:multiLevelType w:val="singleLevel"/>
    <w:tmpl w:val="1BAA58E6"/>
    <w:lvl w:ilvl="0" w:tentative="0">
      <w:start w:val="1"/>
      <w:numFmt w:val="decimal"/>
      <w:suff w:val="nothing"/>
      <w:lvlText w:val="%1、"/>
      <w:lvlJc w:val="left"/>
    </w:lvl>
  </w:abstractNum>
  <w:abstractNum w:abstractNumId="12">
    <w:nsid w:val="1F241866"/>
    <w:multiLevelType w:val="singleLevel"/>
    <w:tmpl w:val="1F241866"/>
    <w:lvl w:ilvl="0" w:tentative="0">
      <w:start w:val="1"/>
      <w:numFmt w:val="decimal"/>
      <w:suff w:val="nothing"/>
      <w:lvlText w:val="%1、"/>
      <w:lvlJc w:val="left"/>
    </w:lvl>
  </w:abstractNum>
  <w:abstractNum w:abstractNumId="13">
    <w:nsid w:val="41058143"/>
    <w:multiLevelType w:val="singleLevel"/>
    <w:tmpl w:val="41058143"/>
    <w:lvl w:ilvl="0" w:tentative="0">
      <w:start w:val="1"/>
      <w:numFmt w:val="decimal"/>
      <w:suff w:val="nothing"/>
      <w:lvlText w:val="%1、"/>
      <w:lvlJc w:val="left"/>
    </w:lvl>
  </w:abstractNum>
  <w:abstractNum w:abstractNumId="14">
    <w:nsid w:val="4114922B"/>
    <w:multiLevelType w:val="singleLevel"/>
    <w:tmpl w:val="4114922B"/>
    <w:lvl w:ilvl="0" w:tentative="0">
      <w:start w:val="1"/>
      <w:numFmt w:val="bullet"/>
      <w:lvlText w:val=""/>
      <w:lvlJc w:val="left"/>
      <w:pPr>
        <w:tabs>
          <w:tab w:val="left" w:pos="420"/>
        </w:tabs>
        <w:ind w:left="840" w:hanging="420"/>
      </w:pPr>
      <w:rPr>
        <w:rFonts w:hint="default" w:ascii="Wingdings" w:hAnsi="Wingdings"/>
      </w:rPr>
    </w:lvl>
  </w:abstractNum>
  <w:abstractNum w:abstractNumId="15">
    <w:nsid w:val="46765B79"/>
    <w:multiLevelType w:val="multilevel"/>
    <w:tmpl w:val="46765B79"/>
    <w:lvl w:ilvl="0" w:tentative="0">
      <w:start w:val="1"/>
      <w:numFmt w:val="decimal"/>
      <w:pStyle w:val="57"/>
      <w:lvlText w:val="图%1 "/>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51847CF9"/>
    <w:multiLevelType w:val="multilevel"/>
    <w:tmpl w:val="51847CF9"/>
    <w:lvl w:ilvl="0" w:tentative="0">
      <w:start w:val="1"/>
      <w:numFmt w:val="japaneseCounting"/>
      <w:pStyle w:val="61"/>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55BC3627"/>
    <w:multiLevelType w:val="singleLevel"/>
    <w:tmpl w:val="55BC3627"/>
    <w:lvl w:ilvl="0" w:tentative="0">
      <w:start w:val="1"/>
      <w:numFmt w:val="decimal"/>
      <w:suff w:val="nothing"/>
      <w:lvlText w:val="%1、"/>
      <w:lvlJc w:val="left"/>
    </w:lvl>
  </w:abstractNum>
  <w:abstractNum w:abstractNumId="18">
    <w:nsid w:val="5AC26121"/>
    <w:multiLevelType w:val="singleLevel"/>
    <w:tmpl w:val="5AC26121"/>
    <w:lvl w:ilvl="0" w:tentative="0">
      <w:start w:val="1"/>
      <w:numFmt w:val="decimal"/>
      <w:suff w:val="nothing"/>
      <w:lvlText w:val="%1、"/>
      <w:lvlJc w:val="left"/>
    </w:lvl>
  </w:abstractNum>
  <w:abstractNum w:abstractNumId="19">
    <w:nsid w:val="5F83769B"/>
    <w:multiLevelType w:val="multilevel"/>
    <w:tmpl w:val="5F83769B"/>
    <w:lvl w:ilvl="0" w:tentative="0">
      <w:start w:val="1"/>
      <w:numFmt w:val="decimal"/>
      <w:pStyle w:val="18"/>
      <w:lvlText w:val="表%1 "/>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85A6602"/>
    <w:multiLevelType w:val="singleLevel"/>
    <w:tmpl w:val="685A6602"/>
    <w:lvl w:ilvl="0" w:tentative="0">
      <w:start w:val="1"/>
      <w:numFmt w:val="decimal"/>
      <w:suff w:val="nothing"/>
      <w:lvlText w:val="%1、"/>
      <w:lvlJc w:val="left"/>
    </w:lvl>
  </w:abstractNum>
  <w:abstractNum w:abstractNumId="21">
    <w:nsid w:val="75B14941"/>
    <w:multiLevelType w:val="multilevel"/>
    <w:tmpl w:val="75B14941"/>
    <w:lvl w:ilvl="0" w:tentative="0">
      <w:start w:val="1"/>
      <w:numFmt w:val="decimal"/>
      <w:pStyle w:val="4"/>
      <w:suff w:val="space"/>
      <w:lvlText w:val="%1."/>
      <w:lvlJc w:val="left"/>
      <w:pPr>
        <w:ind w:left="425" w:hanging="425"/>
      </w:pPr>
      <w:rPr>
        <w:rFonts w:hint="eastAsia"/>
      </w:rPr>
    </w:lvl>
    <w:lvl w:ilvl="1" w:tentative="0">
      <w:start w:val="1"/>
      <w:numFmt w:val="decimal"/>
      <w:pStyle w:val="6"/>
      <w:suff w:val="space"/>
      <w:lvlText w:val="%1.%2."/>
      <w:lvlJc w:val="left"/>
      <w:pPr>
        <w:ind w:left="567" w:hanging="567"/>
      </w:pPr>
      <w:rPr>
        <w:rFonts w:hint="eastAsia"/>
      </w:rPr>
    </w:lvl>
    <w:lvl w:ilvl="2" w:tentative="0">
      <w:start w:val="1"/>
      <w:numFmt w:val="decimal"/>
      <w:pStyle w:val="7"/>
      <w:suff w:val="space"/>
      <w:lvlText w:val="%1.%2.%3."/>
      <w:lvlJc w:val="left"/>
      <w:pPr>
        <w:ind w:left="709" w:hanging="709"/>
      </w:pPr>
      <w:rPr>
        <w:rFonts w:hint="eastAsia"/>
      </w:rPr>
    </w:lvl>
    <w:lvl w:ilvl="3" w:tentative="0">
      <w:start w:val="1"/>
      <w:numFmt w:val="decimal"/>
      <w:pStyle w:val="8"/>
      <w:suff w:val="space"/>
      <w:lvlText w:val="%1.%2.%3.%4."/>
      <w:lvlJc w:val="left"/>
      <w:pPr>
        <w:ind w:left="851" w:hanging="851"/>
      </w:pPr>
      <w:rPr>
        <w:rFonts w:hint="eastAsia"/>
      </w:rPr>
    </w:lvl>
    <w:lvl w:ilvl="4" w:tentative="0">
      <w:start w:val="1"/>
      <w:numFmt w:val="decimal"/>
      <w:pStyle w:val="9"/>
      <w:suff w:val="space"/>
      <w:lvlText w:val="%1.%2.%3.%4.%5."/>
      <w:lvlJc w:val="left"/>
      <w:pPr>
        <w:ind w:left="992" w:hanging="992"/>
      </w:pPr>
      <w:rPr>
        <w:rFonts w:hint="eastAsia"/>
      </w:rPr>
    </w:lvl>
    <w:lvl w:ilvl="5" w:tentative="0">
      <w:start w:val="1"/>
      <w:numFmt w:val="decimal"/>
      <w:pStyle w:val="10"/>
      <w:suff w:val="space"/>
      <w:lvlText w:val="%1.%2.%3.%4.%5.%6."/>
      <w:lvlJc w:val="left"/>
      <w:pPr>
        <w:ind w:left="1134" w:hanging="1134"/>
      </w:pPr>
      <w:rPr>
        <w:rFonts w:hint="eastAsia"/>
      </w:rPr>
    </w:lvl>
    <w:lvl w:ilvl="6" w:tentative="0">
      <w:start w:val="1"/>
      <w:numFmt w:val="decimal"/>
      <w:pStyle w:val="11"/>
      <w:suff w:val="space"/>
      <w:lvlText w:val="%1.%2.%3.%4.%5.%6.%7."/>
      <w:lvlJc w:val="left"/>
      <w:pPr>
        <w:ind w:left="1276" w:hanging="1276"/>
      </w:pPr>
      <w:rPr>
        <w:rFonts w:hint="eastAsia"/>
      </w:rPr>
    </w:lvl>
    <w:lvl w:ilvl="7" w:tentative="0">
      <w:start w:val="1"/>
      <w:numFmt w:val="decimal"/>
      <w:pStyle w:val="12"/>
      <w:suff w:val="space"/>
      <w:lvlText w:val="%1.%2.%3.%4.%5.%6.%7.%8."/>
      <w:lvlJc w:val="left"/>
      <w:pPr>
        <w:ind w:left="1418" w:hanging="1418"/>
      </w:pPr>
      <w:rPr>
        <w:rFonts w:hint="eastAsia"/>
      </w:rPr>
    </w:lvl>
    <w:lvl w:ilvl="8" w:tentative="0">
      <w:start w:val="1"/>
      <w:numFmt w:val="decimal"/>
      <w:pStyle w:val="13"/>
      <w:suff w:val="space"/>
      <w:lvlText w:val="%1.%2.%3.%4.%5.%6.%7.%8.%9."/>
      <w:lvlJc w:val="left"/>
      <w:pPr>
        <w:ind w:left="1559" w:hanging="1559"/>
      </w:pPr>
      <w:rPr>
        <w:rFonts w:hint="eastAsia"/>
      </w:rPr>
    </w:lvl>
  </w:abstractNum>
  <w:abstractNum w:abstractNumId="22">
    <w:nsid w:val="763113CC"/>
    <w:multiLevelType w:val="singleLevel"/>
    <w:tmpl w:val="763113CC"/>
    <w:lvl w:ilvl="0" w:tentative="0">
      <w:start w:val="1"/>
      <w:numFmt w:val="decimal"/>
      <w:suff w:val="nothing"/>
      <w:lvlText w:val="%1、"/>
      <w:lvlJc w:val="left"/>
    </w:lvl>
  </w:abstractNum>
  <w:abstractNum w:abstractNumId="23">
    <w:nsid w:val="7DA48AF3"/>
    <w:multiLevelType w:val="singleLevel"/>
    <w:tmpl w:val="7DA48AF3"/>
    <w:lvl w:ilvl="0" w:tentative="0">
      <w:start w:val="1"/>
      <w:numFmt w:val="decimal"/>
      <w:suff w:val="nothing"/>
      <w:lvlText w:val="%1、"/>
      <w:lvlJc w:val="left"/>
    </w:lvl>
  </w:abstractNum>
  <w:num w:numId="1">
    <w:abstractNumId w:val="21"/>
  </w:num>
  <w:num w:numId="2">
    <w:abstractNumId w:val="19"/>
  </w:num>
  <w:num w:numId="3">
    <w:abstractNumId w:val="15"/>
  </w:num>
  <w:num w:numId="4">
    <w:abstractNumId w:val="10"/>
  </w:num>
  <w:num w:numId="5">
    <w:abstractNumId w:val="16"/>
  </w:num>
  <w:num w:numId="6">
    <w:abstractNumId w:val="23"/>
  </w:num>
  <w:num w:numId="7">
    <w:abstractNumId w:val="22"/>
  </w:num>
  <w:num w:numId="8">
    <w:abstractNumId w:val="13"/>
  </w:num>
  <w:num w:numId="9">
    <w:abstractNumId w:val="8"/>
  </w:num>
  <w:num w:numId="10">
    <w:abstractNumId w:val="6"/>
  </w:num>
  <w:num w:numId="11">
    <w:abstractNumId w:val="4"/>
  </w:num>
  <w:num w:numId="12">
    <w:abstractNumId w:val="1"/>
  </w:num>
  <w:num w:numId="13">
    <w:abstractNumId w:val="0"/>
  </w:num>
  <w:num w:numId="14">
    <w:abstractNumId w:val="11"/>
  </w:num>
  <w:num w:numId="15">
    <w:abstractNumId w:val="17"/>
  </w:num>
  <w:num w:numId="16">
    <w:abstractNumId w:val="18"/>
  </w:num>
  <w:num w:numId="17">
    <w:abstractNumId w:val="3"/>
  </w:num>
  <w:num w:numId="18">
    <w:abstractNumId w:val="7"/>
  </w:num>
  <w:num w:numId="19">
    <w:abstractNumId w:val="5"/>
  </w:num>
  <w:num w:numId="20">
    <w:abstractNumId w:val="12"/>
  </w:num>
  <w:num w:numId="21">
    <w:abstractNumId w:val="2"/>
  </w:num>
  <w:num w:numId="22">
    <w:abstractNumId w:val="20"/>
  </w:num>
  <w:num w:numId="23">
    <w:abstractNumId w:val="9"/>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0D4"/>
    <w:rsid w:val="00002477"/>
    <w:rsid w:val="00003F88"/>
    <w:rsid w:val="0000426E"/>
    <w:rsid w:val="000043DF"/>
    <w:rsid w:val="0001305F"/>
    <w:rsid w:val="00024C9B"/>
    <w:rsid w:val="00026A37"/>
    <w:rsid w:val="00027905"/>
    <w:rsid w:val="00046E72"/>
    <w:rsid w:val="0004723C"/>
    <w:rsid w:val="000521B5"/>
    <w:rsid w:val="00052370"/>
    <w:rsid w:val="00056F95"/>
    <w:rsid w:val="00057B43"/>
    <w:rsid w:val="00063AF0"/>
    <w:rsid w:val="0006769E"/>
    <w:rsid w:val="000729F3"/>
    <w:rsid w:val="00073533"/>
    <w:rsid w:val="00076267"/>
    <w:rsid w:val="00076384"/>
    <w:rsid w:val="00076BD7"/>
    <w:rsid w:val="0007729F"/>
    <w:rsid w:val="00082541"/>
    <w:rsid w:val="000836AB"/>
    <w:rsid w:val="00084854"/>
    <w:rsid w:val="00086ED7"/>
    <w:rsid w:val="00091BA9"/>
    <w:rsid w:val="000A01E0"/>
    <w:rsid w:val="000A127A"/>
    <w:rsid w:val="000A1AF2"/>
    <w:rsid w:val="000B15A7"/>
    <w:rsid w:val="000B2838"/>
    <w:rsid w:val="000B79E5"/>
    <w:rsid w:val="000C0088"/>
    <w:rsid w:val="000C354A"/>
    <w:rsid w:val="000C539C"/>
    <w:rsid w:val="000D2FF9"/>
    <w:rsid w:val="000D7067"/>
    <w:rsid w:val="000E0884"/>
    <w:rsid w:val="000E1549"/>
    <w:rsid w:val="000E30F7"/>
    <w:rsid w:val="000E52EE"/>
    <w:rsid w:val="000E60CF"/>
    <w:rsid w:val="000F1B7A"/>
    <w:rsid w:val="00105559"/>
    <w:rsid w:val="001106D8"/>
    <w:rsid w:val="00112C3D"/>
    <w:rsid w:val="00114F61"/>
    <w:rsid w:val="00115F4C"/>
    <w:rsid w:val="001168AD"/>
    <w:rsid w:val="00116AC0"/>
    <w:rsid w:val="00123CB4"/>
    <w:rsid w:val="001263C6"/>
    <w:rsid w:val="00127F2A"/>
    <w:rsid w:val="00132E6C"/>
    <w:rsid w:val="00142C41"/>
    <w:rsid w:val="00142CC2"/>
    <w:rsid w:val="001446D7"/>
    <w:rsid w:val="001461F1"/>
    <w:rsid w:val="00147A1C"/>
    <w:rsid w:val="001506A1"/>
    <w:rsid w:val="00150C44"/>
    <w:rsid w:val="00152035"/>
    <w:rsid w:val="0015206E"/>
    <w:rsid w:val="00152B09"/>
    <w:rsid w:val="001550DD"/>
    <w:rsid w:val="00155351"/>
    <w:rsid w:val="001579BF"/>
    <w:rsid w:val="0016103A"/>
    <w:rsid w:val="00165F24"/>
    <w:rsid w:val="00166FA3"/>
    <w:rsid w:val="00172997"/>
    <w:rsid w:val="00172F1F"/>
    <w:rsid w:val="001745FA"/>
    <w:rsid w:val="00185C00"/>
    <w:rsid w:val="001904A6"/>
    <w:rsid w:val="001917BD"/>
    <w:rsid w:val="001945E5"/>
    <w:rsid w:val="001954C9"/>
    <w:rsid w:val="001A709E"/>
    <w:rsid w:val="001B0FB6"/>
    <w:rsid w:val="001B21A6"/>
    <w:rsid w:val="001B7DCB"/>
    <w:rsid w:val="001C00A1"/>
    <w:rsid w:val="001C0593"/>
    <w:rsid w:val="001C1DA2"/>
    <w:rsid w:val="001C2C8C"/>
    <w:rsid w:val="001C3D84"/>
    <w:rsid w:val="001C45E6"/>
    <w:rsid w:val="001C608F"/>
    <w:rsid w:val="001C76DF"/>
    <w:rsid w:val="001D0F70"/>
    <w:rsid w:val="001D36DA"/>
    <w:rsid w:val="001D422B"/>
    <w:rsid w:val="001D712F"/>
    <w:rsid w:val="001E2845"/>
    <w:rsid w:val="001E427B"/>
    <w:rsid w:val="001F135D"/>
    <w:rsid w:val="001F2036"/>
    <w:rsid w:val="001F336C"/>
    <w:rsid w:val="001F7863"/>
    <w:rsid w:val="002039DC"/>
    <w:rsid w:val="00210033"/>
    <w:rsid w:val="002102F2"/>
    <w:rsid w:val="00212704"/>
    <w:rsid w:val="002135A7"/>
    <w:rsid w:val="002155D5"/>
    <w:rsid w:val="00216090"/>
    <w:rsid w:val="0021646C"/>
    <w:rsid w:val="002203EF"/>
    <w:rsid w:val="00220580"/>
    <w:rsid w:val="00222581"/>
    <w:rsid w:val="002226C4"/>
    <w:rsid w:val="0022433B"/>
    <w:rsid w:val="0022465F"/>
    <w:rsid w:val="0022699E"/>
    <w:rsid w:val="002304B6"/>
    <w:rsid w:val="00230652"/>
    <w:rsid w:val="002356E6"/>
    <w:rsid w:val="0024494C"/>
    <w:rsid w:val="002523A7"/>
    <w:rsid w:val="002539CD"/>
    <w:rsid w:val="00256224"/>
    <w:rsid w:val="00260195"/>
    <w:rsid w:val="0026062F"/>
    <w:rsid w:val="00261107"/>
    <w:rsid w:val="002666FC"/>
    <w:rsid w:val="00267A75"/>
    <w:rsid w:val="002739B3"/>
    <w:rsid w:val="00277460"/>
    <w:rsid w:val="0028125B"/>
    <w:rsid w:val="00282623"/>
    <w:rsid w:val="00283A4B"/>
    <w:rsid w:val="00285006"/>
    <w:rsid w:val="002929AF"/>
    <w:rsid w:val="00293155"/>
    <w:rsid w:val="002A0406"/>
    <w:rsid w:val="002B61EB"/>
    <w:rsid w:val="002C0972"/>
    <w:rsid w:val="002C1B77"/>
    <w:rsid w:val="002C2A47"/>
    <w:rsid w:val="002D7328"/>
    <w:rsid w:val="002E21CD"/>
    <w:rsid w:val="002E677C"/>
    <w:rsid w:val="002F2790"/>
    <w:rsid w:val="002F34C3"/>
    <w:rsid w:val="002F47A1"/>
    <w:rsid w:val="002F5C72"/>
    <w:rsid w:val="002F6847"/>
    <w:rsid w:val="002F6B63"/>
    <w:rsid w:val="00303023"/>
    <w:rsid w:val="00305170"/>
    <w:rsid w:val="003067A2"/>
    <w:rsid w:val="0030759F"/>
    <w:rsid w:val="0031239E"/>
    <w:rsid w:val="00314284"/>
    <w:rsid w:val="003155F6"/>
    <w:rsid w:val="00317EB6"/>
    <w:rsid w:val="00324DAE"/>
    <w:rsid w:val="003263B4"/>
    <w:rsid w:val="003306D3"/>
    <w:rsid w:val="00335CD3"/>
    <w:rsid w:val="003401E4"/>
    <w:rsid w:val="0034474B"/>
    <w:rsid w:val="0035037A"/>
    <w:rsid w:val="00351FE2"/>
    <w:rsid w:val="00355A6E"/>
    <w:rsid w:val="00373008"/>
    <w:rsid w:val="00385FC9"/>
    <w:rsid w:val="00392469"/>
    <w:rsid w:val="003940CC"/>
    <w:rsid w:val="003942BC"/>
    <w:rsid w:val="003A0EC4"/>
    <w:rsid w:val="003A26DA"/>
    <w:rsid w:val="003A3621"/>
    <w:rsid w:val="003A407C"/>
    <w:rsid w:val="003A7973"/>
    <w:rsid w:val="003A7D72"/>
    <w:rsid w:val="003B4B74"/>
    <w:rsid w:val="003B4D3A"/>
    <w:rsid w:val="003B6250"/>
    <w:rsid w:val="003C0F91"/>
    <w:rsid w:val="003C33D6"/>
    <w:rsid w:val="003C424B"/>
    <w:rsid w:val="003D246E"/>
    <w:rsid w:val="003D77A1"/>
    <w:rsid w:val="003E06C0"/>
    <w:rsid w:val="003E0E81"/>
    <w:rsid w:val="003E5E0E"/>
    <w:rsid w:val="003F3F16"/>
    <w:rsid w:val="003F5622"/>
    <w:rsid w:val="003F5D4B"/>
    <w:rsid w:val="004025C8"/>
    <w:rsid w:val="004035B8"/>
    <w:rsid w:val="00405312"/>
    <w:rsid w:val="00410987"/>
    <w:rsid w:val="00412DBB"/>
    <w:rsid w:val="00414E18"/>
    <w:rsid w:val="00422566"/>
    <w:rsid w:val="00422571"/>
    <w:rsid w:val="004233F6"/>
    <w:rsid w:val="00424D56"/>
    <w:rsid w:val="00426DE1"/>
    <w:rsid w:val="00427A07"/>
    <w:rsid w:val="00437592"/>
    <w:rsid w:val="00444FF9"/>
    <w:rsid w:val="00453B5A"/>
    <w:rsid w:val="00454438"/>
    <w:rsid w:val="00454A44"/>
    <w:rsid w:val="00456B54"/>
    <w:rsid w:val="004613F8"/>
    <w:rsid w:val="00462BCD"/>
    <w:rsid w:val="0046478B"/>
    <w:rsid w:val="00465BE6"/>
    <w:rsid w:val="00471AA4"/>
    <w:rsid w:val="00474DA8"/>
    <w:rsid w:val="00475766"/>
    <w:rsid w:val="00477763"/>
    <w:rsid w:val="00477AC0"/>
    <w:rsid w:val="004805D0"/>
    <w:rsid w:val="0048612A"/>
    <w:rsid w:val="00486C5B"/>
    <w:rsid w:val="004905AC"/>
    <w:rsid w:val="0049155F"/>
    <w:rsid w:val="004922F4"/>
    <w:rsid w:val="004A24F8"/>
    <w:rsid w:val="004A2575"/>
    <w:rsid w:val="004A2B0D"/>
    <w:rsid w:val="004A79E6"/>
    <w:rsid w:val="004B1C41"/>
    <w:rsid w:val="004B1F1F"/>
    <w:rsid w:val="004B5398"/>
    <w:rsid w:val="004B716C"/>
    <w:rsid w:val="004C3DDB"/>
    <w:rsid w:val="004C5D15"/>
    <w:rsid w:val="004C6AA3"/>
    <w:rsid w:val="004D252A"/>
    <w:rsid w:val="004D5410"/>
    <w:rsid w:val="004D6691"/>
    <w:rsid w:val="004E637B"/>
    <w:rsid w:val="004E78C2"/>
    <w:rsid w:val="004F12B3"/>
    <w:rsid w:val="004F1ACD"/>
    <w:rsid w:val="00502132"/>
    <w:rsid w:val="005036AC"/>
    <w:rsid w:val="005147FD"/>
    <w:rsid w:val="00520809"/>
    <w:rsid w:val="00522D45"/>
    <w:rsid w:val="005257B5"/>
    <w:rsid w:val="00531F5B"/>
    <w:rsid w:val="005321C5"/>
    <w:rsid w:val="00535AE5"/>
    <w:rsid w:val="0053624D"/>
    <w:rsid w:val="0053795A"/>
    <w:rsid w:val="005418C4"/>
    <w:rsid w:val="00543D62"/>
    <w:rsid w:val="0054693D"/>
    <w:rsid w:val="005474AD"/>
    <w:rsid w:val="0054757A"/>
    <w:rsid w:val="00547B8F"/>
    <w:rsid w:val="005536E4"/>
    <w:rsid w:val="00555249"/>
    <w:rsid w:val="00561012"/>
    <w:rsid w:val="005679A2"/>
    <w:rsid w:val="00570206"/>
    <w:rsid w:val="005704FA"/>
    <w:rsid w:val="00574C0E"/>
    <w:rsid w:val="00574C3F"/>
    <w:rsid w:val="00583451"/>
    <w:rsid w:val="00586DD1"/>
    <w:rsid w:val="00591168"/>
    <w:rsid w:val="00592361"/>
    <w:rsid w:val="005945A1"/>
    <w:rsid w:val="00595BE0"/>
    <w:rsid w:val="005A216C"/>
    <w:rsid w:val="005A628B"/>
    <w:rsid w:val="005A6F91"/>
    <w:rsid w:val="005B1193"/>
    <w:rsid w:val="005B11E7"/>
    <w:rsid w:val="005C0829"/>
    <w:rsid w:val="005C0B86"/>
    <w:rsid w:val="005C198C"/>
    <w:rsid w:val="005C1B40"/>
    <w:rsid w:val="005C52FB"/>
    <w:rsid w:val="005C76D9"/>
    <w:rsid w:val="005C7C8E"/>
    <w:rsid w:val="005D255C"/>
    <w:rsid w:val="005D2DE0"/>
    <w:rsid w:val="005D3BA0"/>
    <w:rsid w:val="005D6FF6"/>
    <w:rsid w:val="005E2A44"/>
    <w:rsid w:val="005E5285"/>
    <w:rsid w:val="005F16A4"/>
    <w:rsid w:val="005F3A43"/>
    <w:rsid w:val="005F47A0"/>
    <w:rsid w:val="005F5C9D"/>
    <w:rsid w:val="0060026F"/>
    <w:rsid w:val="006005CE"/>
    <w:rsid w:val="00601B8A"/>
    <w:rsid w:val="00601B95"/>
    <w:rsid w:val="0060607A"/>
    <w:rsid w:val="00606084"/>
    <w:rsid w:val="00615E26"/>
    <w:rsid w:val="00624D5B"/>
    <w:rsid w:val="006324FB"/>
    <w:rsid w:val="00635C88"/>
    <w:rsid w:val="00635F08"/>
    <w:rsid w:val="00635F9B"/>
    <w:rsid w:val="0064144C"/>
    <w:rsid w:val="00644390"/>
    <w:rsid w:val="0065092B"/>
    <w:rsid w:val="00650DD0"/>
    <w:rsid w:val="00650EA8"/>
    <w:rsid w:val="00652346"/>
    <w:rsid w:val="00656AC8"/>
    <w:rsid w:val="006601E0"/>
    <w:rsid w:val="00660710"/>
    <w:rsid w:val="006656EE"/>
    <w:rsid w:val="00666057"/>
    <w:rsid w:val="00666F9E"/>
    <w:rsid w:val="00670577"/>
    <w:rsid w:val="006725EE"/>
    <w:rsid w:val="00672F00"/>
    <w:rsid w:val="0067301F"/>
    <w:rsid w:val="00681604"/>
    <w:rsid w:val="00682412"/>
    <w:rsid w:val="006827F4"/>
    <w:rsid w:val="006833D6"/>
    <w:rsid w:val="00694CEA"/>
    <w:rsid w:val="00696970"/>
    <w:rsid w:val="006A4133"/>
    <w:rsid w:val="006B08C1"/>
    <w:rsid w:val="006B2586"/>
    <w:rsid w:val="006C21F3"/>
    <w:rsid w:val="006C6F0B"/>
    <w:rsid w:val="006D00F0"/>
    <w:rsid w:val="006D40FF"/>
    <w:rsid w:val="006D7FCB"/>
    <w:rsid w:val="006E1422"/>
    <w:rsid w:val="006E4D22"/>
    <w:rsid w:val="006F38D1"/>
    <w:rsid w:val="006F6DE7"/>
    <w:rsid w:val="0070169D"/>
    <w:rsid w:val="00711F09"/>
    <w:rsid w:val="007126EE"/>
    <w:rsid w:val="0071630A"/>
    <w:rsid w:val="00716A93"/>
    <w:rsid w:val="007211F7"/>
    <w:rsid w:val="007274A5"/>
    <w:rsid w:val="00730BE1"/>
    <w:rsid w:val="0073143B"/>
    <w:rsid w:val="00733DB6"/>
    <w:rsid w:val="0073594D"/>
    <w:rsid w:val="007366BC"/>
    <w:rsid w:val="0073765B"/>
    <w:rsid w:val="00745C20"/>
    <w:rsid w:val="00747B8F"/>
    <w:rsid w:val="00750E38"/>
    <w:rsid w:val="00750F02"/>
    <w:rsid w:val="00764170"/>
    <w:rsid w:val="00765A65"/>
    <w:rsid w:val="00765DB5"/>
    <w:rsid w:val="00766706"/>
    <w:rsid w:val="00767043"/>
    <w:rsid w:val="00767092"/>
    <w:rsid w:val="007703BF"/>
    <w:rsid w:val="00780479"/>
    <w:rsid w:val="00783299"/>
    <w:rsid w:val="007839A1"/>
    <w:rsid w:val="0079053E"/>
    <w:rsid w:val="00791500"/>
    <w:rsid w:val="00791C14"/>
    <w:rsid w:val="00792045"/>
    <w:rsid w:val="00796427"/>
    <w:rsid w:val="00797335"/>
    <w:rsid w:val="0079748D"/>
    <w:rsid w:val="00797933"/>
    <w:rsid w:val="007A5E95"/>
    <w:rsid w:val="007A7337"/>
    <w:rsid w:val="007B1203"/>
    <w:rsid w:val="007B2555"/>
    <w:rsid w:val="007B31EE"/>
    <w:rsid w:val="007B54B7"/>
    <w:rsid w:val="007B5F93"/>
    <w:rsid w:val="007B6D23"/>
    <w:rsid w:val="007C1144"/>
    <w:rsid w:val="007C1A44"/>
    <w:rsid w:val="007C6DD7"/>
    <w:rsid w:val="007C6EE9"/>
    <w:rsid w:val="007D1560"/>
    <w:rsid w:val="007D3C1C"/>
    <w:rsid w:val="007D430A"/>
    <w:rsid w:val="007E40A7"/>
    <w:rsid w:val="007E479D"/>
    <w:rsid w:val="007F0D8E"/>
    <w:rsid w:val="007F24B5"/>
    <w:rsid w:val="00803F4A"/>
    <w:rsid w:val="00807901"/>
    <w:rsid w:val="00807923"/>
    <w:rsid w:val="0081300B"/>
    <w:rsid w:val="00821B85"/>
    <w:rsid w:val="008230FD"/>
    <w:rsid w:val="008276DF"/>
    <w:rsid w:val="00830681"/>
    <w:rsid w:val="00841D34"/>
    <w:rsid w:val="00847279"/>
    <w:rsid w:val="00850222"/>
    <w:rsid w:val="00851E21"/>
    <w:rsid w:val="0085645E"/>
    <w:rsid w:val="00862449"/>
    <w:rsid w:val="0086294C"/>
    <w:rsid w:val="00864BD3"/>
    <w:rsid w:val="0086520A"/>
    <w:rsid w:val="00870054"/>
    <w:rsid w:val="00875EE9"/>
    <w:rsid w:val="00877BD0"/>
    <w:rsid w:val="00881159"/>
    <w:rsid w:val="00882A73"/>
    <w:rsid w:val="00886102"/>
    <w:rsid w:val="00887773"/>
    <w:rsid w:val="00890468"/>
    <w:rsid w:val="00890723"/>
    <w:rsid w:val="00890779"/>
    <w:rsid w:val="008942E8"/>
    <w:rsid w:val="008A01CB"/>
    <w:rsid w:val="008A71C8"/>
    <w:rsid w:val="008A7FB3"/>
    <w:rsid w:val="008B0685"/>
    <w:rsid w:val="008B3F27"/>
    <w:rsid w:val="008B56EE"/>
    <w:rsid w:val="008B6BBB"/>
    <w:rsid w:val="008C0B0A"/>
    <w:rsid w:val="008C3C57"/>
    <w:rsid w:val="008C409D"/>
    <w:rsid w:val="008C7AED"/>
    <w:rsid w:val="008D5D9E"/>
    <w:rsid w:val="008E151D"/>
    <w:rsid w:val="008E5257"/>
    <w:rsid w:val="008E5C7E"/>
    <w:rsid w:val="008E6435"/>
    <w:rsid w:val="008E7DA2"/>
    <w:rsid w:val="008F0246"/>
    <w:rsid w:val="008F258C"/>
    <w:rsid w:val="008F27CC"/>
    <w:rsid w:val="008F2E45"/>
    <w:rsid w:val="008F3BDE"/>
    <w:rsid w:val="008F6793"/>
    <w:rsid w:val="008F7AE2"/>
    <w:rsid w:val="0090265F"/>
    <w:rsid w:val="00902EE7"/>
    <w:rsid w:val="009034BE"/>
    <w:rsid w:val="00904B3F"/>
    <w:rsid w:val="009053D0"/>
    <w:rsid w:val="00905C01"/>
    <w:rsid w:val="00905EB2"/>
    <w:rsid w:val="009171F8"/>
    <w:rsid w:val="00917AE6"/>
    <w:rsid w:val="00920DA8"/>
    <w:rsid w:val="00922EFD"/>
    <w:rsid w:val="00923CAF"/>
    <w:rsid w:val="009326F3"/>
    <w:rsid w:val="00934374"/>
    <w:rsid w:val="009406A5"/>
    <w:rsid w:val="00941773"/>
    <w:rsid w:val="00941C5B"/>
    <w:rsid w:val="00943A97"/>
    <w:rsid w:val="00944D7B"/>
    <w:rsid w:val="00947C20"/>
    <w:rsid w:val="009522CE"/>
    <w:rsid w:val="00955141"/>
    <w:rsid w:val="009564A9"/>
    <w:rsid w:val="009605A9"/>
    <w:rsid w:val="00964D69"/>
    <w:rsid w:val="0096723A"/>
    <w:rsid w:val="009704B0"/>
    <w:rsid w:val="00971D5E"/>
    <w:rsid w:val="00976897"/>
    <w:rsid w:val="00984DB3"/>
    <w:rsid w:val="00985CB1"/>
    <w:rsid w:val="009873FC"/>
    <w:rsid w:val="00987ACE"/>
    <w:rsid w:val="00990BEA"/>
    <w:rsid w:val="00992BC9"/>
    <w:rsid w:val="009971AE"/>
    <w:rsid w:val="009A17A4"/>
    <w:rsid w:val="009A257E"/>
    <w:rsid w:val="009A4DDA"/>
    <w:rsid w:val="009A7A9D"/>
    <w:rsid w:val="009A7BF4"/>
    <w:rsid w:val="009C4D88"/>
    <w:rsid w:val="009C6310"/>
    <w:rsid w:val="009E4106"/>
    <w:rsid w:val="009E63B7"/>
    <w:rsid w:val="009E7E69"/>
    <w:rsid w:val="009F01C9"/>
    <w:rsid w:val="009F2391"/>
    <w:rsid w:val="009F43FB"/>
    <w:rsid w:val="009F4748"/>
    <w:rsid w:val="00A01296"/>
    <w:rsid w:val="00A117FF"/>
    <w:rsid w:val="00A20BD1"/>
    <w:rsid w:val="00A2630B"/>
    <w:rsid w:val="00A2699A"/>
    <w:rsid w:val="00A26FAF"/>
    <w:rsid w:val="00A2725C"/>
    <w:rsid w:val="00A3708E"/>
    <w:rsid w:val="00A41C42"/>
    <w:rsid w:val="00A44CB5"/>
    <w:rsid w:val="00A471F8"/>
    <w:rsid w:val="00A476B2"/>
    <w:rsid w:val="00A51636"/>
    <w:rsid w:val="00A54CE6"/>
    <w:rsid w:val="00A57A3D"/>
    <w:rsid w:val="00A67D58"/>
    <w:rsid w:val="00A70A3C"/>
    <w:rsid w:val="00A76FFC"/>
    <w:rsid w:val="00A9179D"/>
    <w:rsid w:val="00A92020"/>
    <w:rsid w:val="00A97D13"/>
    <w:rsid w:val="00AA24E6"/>
    <w:rsid w:val="00AA46AE"/>
    <w:rsid w:val="00AA47E9"/>
    <w:rsid w:val="00AA7914"/>
    <w:rsid w:val="00AB1B53"/>
    <w:rsid w:val="00AB2E5D"/>
    <w:rsid w:val="00AB52C9"/>
    <w:rsid w:val="00AC5659"/>
    <w:rsid w:val="00AC6614"/>
    <w:rsid w:val="00AC6852"/>
    <w:rsid w:val="00AC79D5"/>
    <w:rsid w:val="00AD15B3"/>
    <w:rsid w:val="00AD707E"/>
    <w:rsid w:val="00AD78B0"/>
    <w:rsid w:val="00AE10C7"/>
    <w:rsid w:val="00AE1764"/>
    <w:rsid w:val="00AE6D77"/>
    <w:rsid w:val="00AF4671"/>
    <w:rsid w:val="00B051CB"/>
    <w:rsid w:val="00B067F1"/>
    <w:rsid w:val="00B100D4"/>
    <w:rsid w:val="00B1165F"/>
    <w:rsid w:val="00B1229A"/>
    <w:rsid w:val="00B13457"/>
    <w:rsid w:val="00B147FE"/>
    <w:rsid w:val="00B17836"/>
    <w:rsid w:val="00B17F1F"/>
    <w:rsid w:val="00B228E9"/>
    <w:rsid w:val="00B24DEF"/>
    <w:rsid w:val="00B25B11"/>
    <w:rsid w:val="00B25C24"/>
    <w:rsid w:val="00B27406"/>
    <w:rsid w:val="00B3014E"/>
    <w:rsid w:val="00B3105A"/>
    <w:rsid w:val="00B33437"/>
    <w:rsid w:val="00B401EC"/>
    <w:rsid w:val="00B42F37"/>
    <w:rsid w:val="00B45F56"/>
    <w:rsid w:val="00B51ADF"/>
    <w:rsid w:val="00B5219D"/>
    <w:rsid w:val="00B53146"/>
    <w:rsid w:val="00B61484"/>
    <w:rsid w:val="00B70AE1"/>
    <w:rsid w:val="00B711CC"/>
    <w:rsid w:val="00B77EA0"/>
    <w:rsid w:val="00B81421"/>
    <w:rsid w:val="00B821F9"/>
    <w:rsid w:val="00B94198"/>
    <w:rsid w:val="00BA1AD3"/>
    <w:rsid w:val="00BA51AA"/>
    <w:rsid w:val="00BA54BB"/>
    <w:rsid w:val="00BB16D9"/>
    <w:rsid w:val="00BB5D72"/>
    <w:rsid w:val="00BB6C0D"/>
    <w:rsid w:val="00BC1697"/>
    <w:rsid w:val="00BC4881"/>
    <w:rsid w:val="00BC6696"/>
    <w:rsid w:val="00BC6698"/>
    <w:rsid w:val="00BC7D7E"/>
    <w:rsid w:val="00BD0800"/>
    <w:rsid w:val="00BE4443"/>
    <w:rsid w:val="00BE48B5"/>
    <w:rsid w:val="00BE7C3A"/>
    <w:rsid w:val="00BF0BD4"/>
    <w:rsid w:val="00BF25E9"/>
    <w:rsid w:val="00BF3854"/>
    <w:rsid w:val="00C00469"/>
    <w:rsid w:val="00C038AC"/>
    <w:rsid w:val="00C04688"/>
    <w:rsid w:val="00C047F5"/>
    <w:rsid w:val="00C06FED"/>
    <w:rsid w:val="00C135A9"/>
    <w:rsid w:val="00C13792"/>
    <w:rsid w:val="00C16516"/>
    <w:rsid w:val="00C17137"/>
    <w:rsid w:val="00C252EF"/>
    <w:rsid w:val="00C35042"/>
    <w:rsid w:val="00C37A53"/>
    <w:rsid w:val="00C406AC"/>
    <w:rsid w:val="00C51E4F"/>
    <w:rsid w:val="00C51F4D"/>
    <w:rsid w:val="00C543C6"/>
    <w:rsid w:val="00C54981"/>
    <w:rsid w:val="00C553F3"/>
    <w:rsid w:val="00C56172"/>
    <w:rsid w:val="00C5746B"/>
    <w:rsid w:val="00C575FA"/>
    <w:rsid w:val="00C605B8"/>
    <w:rsid w:val="00C61880"/>
    <w:rsid w:val="00C70473"/>
    <w:rsid w:val="00C84D65"/>
    <w:rsid w:val="00C87615"/>
    <w:rsid w:val="00C95D3B"/>
    <w:rsid w:val="00C97D1C"/>
    <w:rsid w:val="00CA3473"/>
    <w:rsid w:val="00CA67B7"/>
    <w:rsid w:val="00CA72DD"/>
    <w:rsid w:val="00CB2DA2"/>
    <w:rsid w:val="00CB5587"/>
    <w:rsid w:val="00CB61D5"/>
    <w:rsid w:val="00CC29C3"/>
    <w:rsid w:val="00CC421B"/>
    <w:rsid w:val="00CD0307"/>
    <w:rsid w:val="00CD09F7"/>
    <w:rsid w:val="00CD223D"/>
    <w:rsid w:val="00CE0D40"/>
    <w:rsid w:val="00CE3229"/>
    <w:rsid w:val="00CE5899"/>
    <w:rsid w:val="00CE756F"/>
    <w:rsid w:val="00CF0FE5"/>
    <w:rsid w:val="00CF4B74"/>
    <w:rsid w:val="00D00651"/>
    <w:rsid w:val="00D00FB6"/>
    <w:rsid w:val="00D01753"/>
    <w:rsid w:val="00D02C10"/>
    <w:rsid w:val="00D04E93"/>
    <w:rsid w:val="00D06055"/>
    <w:rsid w:val="00D1296B"/>
    <w:rsid w:val="00D12F3B"/>
    <w:rsid w:val="00D1393E"/>
    <w:rsid w:val="00D16103"/>
    <w:rsid w:val="00D168E3"/>
    <w:rsid w:val="00D16E33"/>
    <w:rsid w:val="00D2472B"/>
    <w:rsid w:val="00D25BFB"/>
    <w:rsid w:val="00D26C19"/>
    <w:rsid w:val="00D30F14"/>
    <w:rsid w:val="00D348E8"/>
    <w:rsid w:val="00D4016E"/>
    <w:rsid w:val="00D41C70"/>
    <w:rsid w:val="00D41EBC"/>
    <w:rsid w:val="00D44C11"/>
    <w:rsid w:val="00D45D87"/>
    <w:rsid w:val="00D47B82"/>
    <w:rsid w:val="00D55069"/>
    <w:rsid w:val="00D556CE"/>
    <w:rsid w:val="00D566E7"/>
    <w:rsid w:val="00D62D5F"/>
    <w:rsid w:val="00D637D4"/>
    <w:rsid w:val="00D644E3"/>
    <w:rsid w:val="00D64F56"/>
    <w:rsid w:val="00D71929"/>
    <w:rsid w:val="00D83544"/>
    <w:rsid w:val="00D83BF6"/>
    <w:rsid w:val="00D912F0"/>
    <w:rsid w:val="00D913F5"/>
    <w:rsid w:val="00D94373"/>
    <w:rsid w:val="00DA2828"/>
    <w:rsid w:val="00DA538A"/>
    <w:rsid w:val="00DA58B7"/>
    <w:rsid w:val="00DA58D0"/>
    <w:rsid w:val="00DA6ECB"/>
    <w:rsid w:val="00DA7C82"/>
    <w:rsid w:val="00DB3F15"/>
    <w:rsid w:val="00DB5F0C"/>
    <w:rsid w:val="00DB69AF"/>
    <w:rsid w:val="00DC3B70"/>
    <w:rsid w:val="00DC63FB"/>
    <w:rsid w:val="00DC7C1D"/>
    <w:rsid w:val="00DD4392"/>
    <w:rsid w:val="00DE0C0C"/>
    <w:rsid w:val="00DE6388"/>
    <w:rsid w:val="00E001B1"/>
    <w:rsid w:val="00E0739C"/>
    <w:rsid w:val="00E1251D"/>
    <w:rsid w:val="00E1322A"/>
    <w:rsid w:val="00E162EB"/>
    <w:rsid w:val="00E1736E"/>
    <w:rsid w:val="00E17989"/>
    <w:rsid w:val="00E23CB1"/>
    <w:rsid w:val="00E23E2B"/>
    <w:rsid w:val="00E301BD"/>
    <w:rsid w:val="00E3059C"/>
    <w:rsid w:val="00E31EBB"/>
    <w:rsid w:val="00E355D8"/>
    <w:rsid w:val="00E40636"/>
    <w:rsid w:val="00E40983"/>
    <w:rsid w:val="00E40A4B"/>
    <w:rsid w:val="00E422A2"/>
    <w:rsid w:val="00E43589"/>
    <w:rsid w:val="00E43929"/>
    <w:rsid w:val="00E4597B"/>
    <w:rsid w:val="00E50C89"/>
    <w:rsid w:val="00E52247"/>
    <w:rsid w:val="00E5299A"/>
    <w:rsid w:val="00E55D3A"/>
    <w:rsid w:val="00E56112"/>
    <w:rsid w:val="00E61394"/>
    <w:rsid w:val="00E61506"/>
    <w:rsid w:val="00E62F7A"/>
    <w:rsid w:val="00E641DD"/>
    <w:rsid w:val="00E6696C"/>
    <w:rsid w:val="00E74E0E"/>
    <w:rsid w:val="00E80910"/>
    <w:rsid w:val="00E83C7B"/>
    <w:rsid w:val="00E84E32"/>
    <w:rsid w:val="00E91969"/>
    <w:rsid w:val="00E92927"/>
    <w:rsid w:val="00E92EA8"/>
    <w:rsid w:val="00E96A4A"/>
    <w:rsid w:val="00EA16AB"/>
    <w:rsid w:val="00EA51E0"/>
    <w:rsid w:val="00EB2222"/>
    <w:rsid w:val="00EB5B50"/>
    <w:rsid w:val="00EB67E0"/>
    <w:rsid w:val="00EC1A07"/>
    <w:rsid w:val="00EC584F"/>
    <w:rsid w:val="00ED015E"/>
    <w:rsid w:val="00ED0AB4"/>
    <w:rsid w:val="00ED0EE5"/>
    <w:rsid w:val="00ED3CAD"/>
    <w:rsid w:val="00ED430F"/>
    <w:rsid w:val="00ED7799"/>
    <w:rsid w:val="00EE1FC4"/>
    <w:rsid w:val="00EE31D1"/>
    <w:rsid w:val="00EE32CD"/>
    <w:rsid w:val="00EE5A4A"/>
    <w:rsid w:val="00EF03E1"/>
    <w:rsid w:val="00EF09E7"/>
    <w:rsid w:val="00EF0BB2"/>
    <w:rsid w:val="00EF14F6"/>
    <w:rsid w:val="00EF2A2A"/>
    <w:rsid w:val="00EF36ED"/>
    <w:rsid w:val="00EF5B13"/>
    <w:rsid w:val="00F01BD5"/>
    <w:rsid w:val="00F01C0B"/>
    <w:rsid w:val="00F03515"/>
    <w:rsid w:val="00F03B24"/>
    <w:rsid w:val="00F03F39"/>
    <w:rsid w:val="00F07342"/>
    <w:rsid w:val="00F13375"/>
    <w:rsid w:val="00F1376D"/>
    <w:rsid w:val="00F14F6F"/>
    <w:rsid w:val="00F15B4F"/>
    <w:rsid w:val="00F162D5"/>
    <w:rsid w:val="00F201A9"/>
    <w:rsid w:val="00F2086E"/>
    <w:rsid w:val="00F21F0F"/>
    <w:rsid w:val="00F21FAA"/>
    <w:rsid w:val="00F23B9E"/>
    <w:rsid w:val="00F278E5"/>
    <w:rsid w:val="00F375E2"/>
    <w:rsid w:val="00F43C7A"/>
    <w:rsid w:val="00F44B88"/>
    <w:rsid w:val="00F4514A"/>
    <w:rsid w:val="00F4754B"/>
    <w:rsid w:val="00F558C2"/>
    <w:rsid w:val="00F654A9"/>
    <w:rsid w:val="00F66567"/>
    <w:rsid w:val="00F6754C"/>
    <w:rsid w:val="00F70386"/>
    <w:rsid w:val="00F70946"/>
    <w:rsid w:val="00F70DE1"/>
    <w:rsid w:val="00F740C4"/>
    <w:rsid w:val="00F81F74"/>
    <w:rsid w:val="00F83920"/>
    <w:rsid w:val="00F84340"/>
    <w:rsid w:val="00F927AD"/>
    <w:rsid w:val="00F93F82"/>
    <w:rsid w:val="00F95ED1"/>
    <w:rsid w:val="00FA0127"/>
    <w:rsid w:val="00FA2D3D"/>
    <w:rsid w:val="00FB1B17"/>
    <w:rsid w:val="00FB3339"/>
    <w:rsid w:val="00FB4E47"/>
    <w:rsid w:val="00FB7639"/>
    <w:rsid w:val="00FC27A1"/>
    <w:rsid w:val="00FC58A7"/>
    <w:rsid w:val="00FC58CA"/>
    <w:rsid w:val="00FC60B5"/>
    <w:rsid w:val="00FD1150"/>
    <w:rsid w:val="00FD7710"/>
    <w:rsid w:val="00FE2D0C"/>
    <w:rsid w:val="00FE6596"/>
    <w:rsid w:val="00FF0269"/>
    <w:rsid w:val="00FF174F"/>
    <w:rsid w:val="00FF5D9B"/>
    <w:rsid w:val="0119244B"/>
    <w:rsid w:val="01253372"/>
    <w:rsid w:val="013D1023"/>
    <w:rsid w:val="0190082D"/>
    <w:rsid w:val="01BC6F9F"/>
    <w:rsid w:val="01C237B8"/>
    <w:rsid w:val="01DD6640"/>
    <w:rsid w:val="02217E72"/>
    <w:rsid w:val="02265E3C"/>
    <w:rsid w:val="022C7BA6"/>
    <w:rsid w:val="022D11E0"/>
    <w:rsid w:val="027A0192"/>
    <w:rsid w:val="02937631"/>
    <w:rsid w:val="02C46466"/>
    <w:rsid w:val="02C74B2F"/>
    <w:rsid w:val="02EF18DF"/>
    <w:rsid w:val="02F05C02"/>
    <w:rsid w:val="02F52A24"/>
    <w:rsid w:val="030D21F8"/>
    <w:rsid w:val="032D2A22"/>
    <w:rsid w:val="033B6A0E"/>
    <w:rsid w:val="03421E34"/>
    <w:rsid w:val="03695406"/>
    <w:rsid w:val="03825261"/>
    <w:rsid w:val="038D194C"/>
    <w:rsid w:val="03910822"/>
    <w:rsid w:val="039842CF"/>
    <w:rsid w:val="03A06C70"/>
    <w:rsid w:val="03B026DE"/>
    <w:rsid w:val="03C358B6"/>
    <w:rsid w:val="03D56844"/>
    <w:rsid w:val="03E367EB"/>
    <w:rsid w:val="03E56665"/>
    <w:rsid w:val="03F13875"/>
    <w:rsid w:val="03F525A2"/>
    <w:rsid w:val="03F80CEA"/>
    <w:rsid w:val="03FD6BB5"/>
    <w:rsid w:val="04051239"/>
    <w:rsid w:val="04292455"/>
    <w:rsid w:val="047764E1"/>
    <w:rsid w:val="04947A21"/>
    <w:rsid w:val="049E2FB3"/>
    <w:rsid w:val="04A63ABD"/>
    <w:rsid w:val="04AA5637"/>
    <w:rsid w:val="04B3027F"/>
    <w:rsid w:val="04D0140A"/>
    <w:rsid w:val="0504241A"/>
    <w:rsid w:val="050E0034"/>
    <w:rsid w:val="051371B6"/>
    <w:rsid w:val="0517001C"/>
    <w:rsid w:val="051F457C"/>
    <w:rsid w:val="05283431"/>
    <w:rsid w:val="05350A78"/>
    <w:rsid w:val="05357A10"/>
    <w:rsid w:val="053B7156"/>
    <w:rsid w:val="054217A6"/>
    <w:rsid w:val="054C5980"/>
    <w:rsid w:val="055C30DB"/>
    <w:rsid w:val="055E50A5"/>
    <w:rsid w:val="056F1060"/>
    <w:rsid w:val="05816B15"/>
    <w:rsid w:val="05833134"/>
    <w:rsid w:val="05B41169"/>
    <w:rsid w:val="05CB779B"/>
    <w:rsid w:val="05E932F4"/>
    <w:rsid w:val="05EE1DB6"/>
    <w:rsid w:val="060034FC"/>
    <w:rsid w:val="060E683B"/>
    <w:rsid w:val="060F6233"/>
    <w:rsid w:val="0629090B"/>
    <w:rsid w:val="062E333A"/>
    <w:rsid w:val="064D67D9"/>
    <w:rsid w:val="06522CC6"/>
    <w:rsid w:val="068147FB"/>
    <w:rsid w:val="069E7B7E"/>
    <w:rsid w:val="06B331CE"/>
    <w:rsid w:val="07046D57"/>
    <w:rsid w:val="07146F51"/>
    <w:rsid w:val="07160888"/>
    <w:rsid w:val="071D4ED9"/>
    <w:rsid w:val="071F03E7"/>
    <w:rsid w:val="072D07AC"/>
    <w:rsid w:val="073C7E19"/>
    <w:rsid w:val="07486DF3"/>
    <w:rsid w:val="075874A9"/>
    <w:rsid w:val="076843EE"/>
    <w:rsid w:val="076B7AF2"/>
    <w:rsid w:val="076F6A2D"/>
    <w:rsid w:val="078A667B"/>
    <w:rsid w:val="07923531"/>
    <w:rsid w:val="079A1195"/>
    <w:rsid w:val="079D0F3F"/>
    <w:rsid w:val="07D44BB3"/>
    <w:rsid w:val="07E61381"/>
    <w:rsid w:val="07FF3799"/>
    <w:rsid w:val="082E483B"/>
    <w:rsid w:val="08340E4F"/>
    <w:rsid w:val="084B4A04"/>
    <w:rsid w:val="085B02F7"/>
    <w:rsid w:val="087921F6"/>
    <w:rsid w:val="089670FA"/>
    <w:rsid w:val="08BB2E77"/>
    <w:rsid w:val="08DF4803"/>
    <w:rsid w:val="08E867C6"/>
    <w:rsid w:val="091324E2"/>
    <w:rsid w:val="09465A09"/>
    <w:rsid w:val="096E36BC"/>
    <w:rsid w:val="098A7A13"/>
    <w:rsid w:val="099F1F7E"/>
    <w:rsid w:val="09AD5D40"/>
    <w:rsid w:val="09C53891"/>
    <w:rsid w:val="09D20C8B"/>
    <w:rsid w:val="09F204B1"/>
    <w:rsid w:val="0A0B6472"/>
    <w:rsid w:val="0A103868"/>
    <w:rsid w:val="0A171CC6"/>
    <w:rsid w:val="0A27015B"/>
    <w:rsid w:val="0A27185F"/>
    <w:rsid w:val="0A334F87"/>
    <w:rsid w:val="0A430D0D"/>
    <w:rsid w:val="0A6273E5"/>
    <w:rsid w:val="0A791196"/>
    <w:rsid w:val="0A8C5B67"/>
    <w:rsid w:val="0A9236B2"/>
    <w:rsid w:val="0A9A4E0A"/>
    <w:rsid w:val="0A9C45C1"/>
    <w:rsid w:val="0AAD42D0"/>
    <w:rsid w:val="0AE2529C"/>
    <w:rsid w:val="0B08256E"/>
    <w:rsid w:val="0B0D1F87"/>
    <w:rsid w:val="0B0D2CC0"/>
    <w:rsid w:val="0B0E43F5"/>
    <w:rsid w:val="0B1C47DF"/>
    <w:rsid w:val="0B31022B"/>
    <w:rsid w:val="0B4B5831"/>
    <w:rsid w:val="0B4D44B6"/>
    <w:rsid w:val="0B527E71"/>
    <w:rsid w:val="0B595BCD"/>
    <w:rsid w:val="0B5B5F55"/>
    <w:rsid w:val="0B60380B"/>
    <w:rsid w:val="0B8078A9"/>
    <w:rsid w:val="0B930C3C"/>
    <w:rsid w:val="0B97334F"/>
    <w:rsid w:val="0B974E6D"/>
    <w:rsid w:val="0BAE0AB9"/>
    <w:rsid w:val="0BB02611"/>
    <w:rsid w:val="0BB90467"/>
    <w:rsid w:val="0BC801ED"/>
    <w:rsid w:val="0BDE5BF7"/>
    <w:rsid w:val="0C0A3C80"/>
    <w:rsid w:val="0C0F23DF"/>
    <w:rsid w:val="0C3E19E9"/>
    <w:rsid w:val="0C5821E5"/>
    <w:rsid w:val="0C5E15C5"/>
    <w:rsid w:val="0C711B61"/>
    <w:rsid w:val="0CB952B6"/>
    <w:rsid w:val="0CC974F7"/>
    <w:rsid w:val="0CCB39DB"/>
    <w:rsid w:val="0CD45CF1"/>
    <w:rsid w:val="0CDC6310"/>
    <w:rsid w:val="0CE57E5A"/>
    <w:rsid w:val="0CE9312F"/>
    <w:rsid w:val="0D084601"/>
    <w:rsid w:val="0D084891"/>
    <w:rsid w:val="0D0F271F"/>
    <w:rsid w:val="0D211C57"/>
    <w:rsid w:val="0D3D6ABF"/>
    <w:rsid w:val="0D4D49A2"/>
    <w:rsid w:val="0D556D8D"/>
    <w:rsid w:val="0D5F16AD"/>
    <w:rsid w:val="0D6D057B"/>
    <w:rsid w:val="0D733425"/>
    <w:rsid w:val="0D7F68BF"/>
    <w:rsid w:val="0DB735D5"/>
    <w:rsid w:val="0DC13B67"/>
    <w:rsid w:val="0DDA3028"/>
    <w:rsid w:val="0DF50D68"/>
    <w:rsid w:val="0E001EC5"/>
    <w:rsid w:val="0E232E17"/>
    <w:rsid w:val="0E2E7DE2"/>
    <w:rsid w:val="0E2F5830"/>
    <w:rsid w:val="0E370B89"/>
    <w:rsid w:val="0E484B44"/>
    <w:rsid w:val="0E561B86"/>
    <w:rsid w:val="0E5D45A1"/>
    <w:rsid w:val="0E74336A"/>
    <w:rsid w:val="0E7912A8"/>
    <w:rsid w:val="0E952C87"/>
    <w:rsid w:val="0EB42135"/>
    <w:rsid w:val="0EDB32C2"/>
    <w:rsid w:val="0EE80AE9"/>
    <w:rsid w:val="0F060D61"/>
    <w:rsid w:val="0F123B08"/>
    <w:rsid w:val="0F2B12DC"/>
    <w:rsid w:val="0F3059E5"/>
    <w:rsid w:val="0F57119C"/>
    <w:rsid w:val="0F6D0194"/>
    <w:rsid w:val="0F7E232F"/>
    <w:rsid w:val="0FA262EC"/>
    <w:rsid w:val="0FE84CF1"/>
    <w:rsid w:val="0FF13D9A"/>
    <w:rsid w:val="0FF705D0"/>
    <w:rsid w:val="0FFA5D1B"/>
    <w:rsid w:val="100D48FD"/>
    <w:rsid w:val="10223384"/>
    <w:rsid w:val="102321B0"/>
    <w:rsid w:val="10376C1E"/>
    <w:rsid w:val="106207F0"/>
    <w:rsid w:val="10657393"/>
    <w:rsid w:val="10783886"/>
    <w:rsid w:val="107B1C2F"/>
    <w:rsid w:val="10863F9E"/>
    <w:rsid w:val="10880C6B"/>
    <w:rsid w:val="109824DC"/>
    <w:rsid w:val="10AA73F0"/>
    <w:rsid w:val="10B75766"/>
    <w:rsid w:val="10B90B06"/>
    <w:rsid w:val="10C452A7"/>
    <w:rsid w:val="10CC53A0"/>
    <w:rsid w:val="10D46BEA"/>
    <w:rsid w:val="10DC1574"/>
    <w:rsid w:val="10DD0FD4"/>
    <w:rsid w:val="10E71A84"/>
    <w:rsid w:val="10F41847"/>
    <w:rsid w:val="11214F9E"/>
    <w:rsid w:val="11286567"/>
    <w:rsid w:val="113D7462"/>
    <w:rsid w:val="114C1747"/>
    <w:rsid w:val="11595C01"/>
    <w:rsid w:val="115F4672"/>
    <w:rsid w:val="11611B87"/>
    <w:rsid w:val="116D5B02"/>
    <w:rsid w:val="11700235"/>
    <w:rsid w:val="117F073A"/>
    <w:rsid w:val="1193293A"/>
    <w:rsid w:val="11942D5C"/>
    <w:rsid w:val="11BD44C8"/>
    <w:rsid w:val="11CD2CF7"/>
    <w:rsid w:val="11CE5DA7"/>
    <w:rsid w:val="11D00236"/>
    <w:rsid w:val="1206513E"/>
    <w:rsid w:val="121239F2"/>
    <w:rsid w:val="12221C29"/>
    <w:rsid w:val="12225FD0"/>
    <w:rsid w:val="122B64DB"/>
    <w:rsid w:val="123E1309"/>
    <w:rsid w:val="123F490D"/>
    <w:rsid w:val="1248000F"/>
    <w:rsid w:val="125C438E"/>
    <w:rsid w:val="126C4404"/>
    <w:rsid w:val="127972EB"/>
    <w:rsid w:val="127C31A6"/>
    <w:rsid w:val="12892A55"/>
    <w:rsid w:val="128A77BE"/>
    <w:rsid w:val="129321B5"/>
    <w:rsid w:val="12E0359D"/>
    <w:rsid w:val="12EA0A34"/>
    <w:rsid w:val="12ED1816"/>
    <w:rsid w:val="12EE3134"/>
    <w:rsid w:val="1333221C"/>
    <w:rsid w:val="134442A6"/>
    <w:rsid w:val="134747C2"/>
    <w:rsid w:val="134850C2"/>
    <w:rsid w:val="13637D2A"/>
    <w:rsid w:val="13740B96"/>
    <w:rsid w:val="139B2120"/>
    <w:rsid w:val="13A779C9"/>
    <w:rsid w:val="13C13F1F"/>
    <w:rsid w:val="13CD2AF5"/>
    <w:rsid w:val="13D62AF3"/>
    <w:rsid w:val="13DA6F1B"/>
    <w:rsid w:val="13E14F46"/>
    <w:rsid w:val="13F90AA2"/>
    <w:rsid w:val="140F18AE"/>
    <w:rsid w:val="140F4C67"/>
    <w:rsid w:val="147A3B06"/>
    <w:rsid w:val="147C7CAF"/>
    <w:rsid w:val="14894E7B"/>
    <w:rsid w:val="14C75937"/>
    <w:rsid w:val="14F37395"/>
    <w:rsid w:val="150A5B57"/>
    <w:rsid w:val="151645D3"/>
    <w:rsid w:val="151757E2"/>
    <w:rsid w:val="152D6842"/>
    <w:rsid w:val="1537321C"/>
    <w:rsid w:val="15413973"/>
    <w:rsid w:val="154E6A35"/>
    <w:rsid w:val="155C60AB"/>
    <w:rsid w:val="157D1577"/>
    <w:rsid w:val="157E4E63"/>
    <w:rsid w:val="15826591"/>
    <w:rsid w:val="158C2634"/>
    <w:rsid w:val="159F69CE"/>
    <w:rsid w:val="15B16039"/>
    <w:rsid w:val="15BD18B6"/>
    <w:rsid w:val="15E737A4"/>
    <w:rsid w:val="160457F4"/>
    <w:rsid w:val="16192D12"/>
    <w:rsid w:val="162227B7"/>
    <w:rsid w:val="163A1623"/>
    <w:rsid w:val="16443E43"/>
    <w:rsid w:val="16492D73"/>
    <w:rsid w:val="165C73DE"/>
    <w:rsid w:val="165F0C7D"/>
    <w:rsid w:val="166659F9"/>
    <w:rsid w:val="167947C9"/>
    <w:rsid w:val="16B014D8"/>
    <w:rsid w:val="16BE2F3F"/>
    <w:rsid w:val="17005A32"/>
    <w:rsid w:val="17017F86"/>
    <w:rsid w:val="170535D2"/>
    <w:rsid w:val="171D15C5"/>
    <w:rsid w:val="172C3284"/>
    <w:rsid w:val="172D70F6"/>
    <w:rsid w:val="174F3143"/>
    <w:rsid w:val="17517AE3"/>
    <w:rsid w:val="177843D8"/>
    <w:rsid w:val="178A7735"/>
    <w:rsid w:val="17B35A25"/>
    <w:rsid w:val="17B66B0B"/>
    <w:rsid w:val="17E458DD"/>
    <w:rsid w:val="17FB2C27"/>
    <w:rsid w:val="1817101A"/>
    <w:rsid w:val="18297247"/>
    <w:rsid w:val="18411CEF"/>
    <w:rsid w:val="184620F4"/>
    <w:rsid w:val="185E2813"/>
    <w:rsid w:val="18737544"/>
    <w:rsid w:val="188910C7"/>
    <w:rsid w:val="18960E2F"/>
    <w:rsid w:val="18D851B5"/>
    <w:rsid w:val="18F80A90"/>
    <w:rsid w:val="19015C7E"/>
    <w:rsid w:val="19037FE5"/>
    <w:rsid w:val="19091AF2"/>
    <w:rsid w:val="19193365"/>
    <w:rsid w:val="192B12EA"/>
    <w:rsid w:val="19346C73"/>
    <w:rsid w:val="195726C4"/>
    <w:rsid w:val="195E7539"/>
    <w:rsid w:val="19643EB7"/>
    <w:rsid w:val="199155F1"/>
    <w:rsid w:val="1992462A"/>
    <w:rsid w:val="19AF5A77"/>
    <w:rsid w:val="19B9173B"/>
    <w:rsid w:val="19D1769E"/>
    <w:rsid w:val="19EE22BB"/>
    <w:rsid w:val="19F4792E"/>
    <w:rsid w:val="1A1E542C"/>
    <w:rsid w:val="1A4319DA"/>
    <w:rsid w:val="1A4E75A6"/>
    <w:rsid w:val="1A5B733B"/>
    <w:rsid w:val="1A5C58A8"/>
    <w:rsid w:val="1A705133"/>
    <w:rsid w:val="1A8859A8"/>
    <w:rsid w:val="1A8B2040"/>
    <w:rsid w:val="1A9A1B1C"/>
    <w:rsid w:val="1AA33EAF"/>
    <w:rsid w:val="1AC96440"/>
    <w:rsid w:val="1AD77E9E"/>
    <w:rsid w:val="1AE7163A"/>
    <w:rsid w:val="1B083691"/>
    <w:rsid w:val="1B094435"/>
    <w:rsid w:val="1B155FF7"/>
    <w:rsid w:val="1B3421EF"/>
    <w:rsid w:val="1B606C86"/>
    <w:rsid w:val="1B701525"/>
    <w:rsid w:val="1B96312A"/>
    <w:rsid w:val="1BAC6164"/>
    <w:rsid w:val="1BC605CD"/>
    <w:rsid w:val="1BC670A8"/>
    <w:rsid w:val="1BCC0B62"/>
    <w:rsid w:val="1BE117D2"/>
    <w:rsid w:val="1BE64D62"/>
    <w:rsid w:val="1BEE0E51"/>
    <w:rsid w:val="1C137D70"/>
    <w:rsid w:val="1C3C31C3"/>
    <w:rsid w:val="1C5D0C65"/>
    <w:rsid w:val="1C7A05BE"/>
    <w:rsid w:val="1C7C5380"/>
    <w:rsid w:val="1C933C95"/>
    <w:rsid w:val="1C9563E4"/>
    <w:rsid w:val="1C9C4677"/>
    <w:rsid w:val="1CA5357E"/>
    <w:rsid w:val="1CAC4639"/>
    <w:rsid w:val="1CB655EF"/>
    <w:rsid w:val="1CE27132"/>
    <w:rsid w:val="1D2B2673"/>
    <w:rsid w:val="1D2F75FB"/>
    <w:rsid w:val="1D463E2C"/>
    <w:rsid w:val="1D5030CD"/>
    <w:rsid w:val="1D5B4DC0"/>
    <w:rsid w:val="1D6E2B53"/>
    <w:rsid w:val="1D725FD2"/>
    <w:rsid w:val="1D763C83"/>
    <w:rsid w:val="1D862F93"/>
    <w:rsid w:val="1D88782B"/>
    <w:rsid w:val="1DA653E3"/>
    <w:rsid w:val="1DA70990"/>
    <w:rsid w:val="1DA90BE5"/>
    <w:rsid w:val="1DBA11F5"/>
    <w:rsid w:val="1DE7259F"/>
    <w:rsid w:val="1E200CF1"/>
    <w:rsid w:val="1E4470D6"/>
    <w:rsid w:val="1E543091"/>
    <w:rsid w:val="1E790259"/>
    <w:rsid w:val="1E993E88"/>
    <w:rsid w:val="1EA35510"/>
    <w:rsid w:val="1EC5041E"/>
    <w:rsid w:val="1ED82A4B"/>
    <w:rsid w:val="1EED04D9"/>
    <w:rsid w:val="1F0965DD"/>
    <w:rsid w:val="1F1B33B5"/>
    <w:rsid w:val="1F2251FA"/>
    <w:rsid w:val="1F226CEB"/>
    <w:rsid w:val="1F2962CC"/>
    <w:rsid w:val="1F332069"/>
    <w:rsid w:val="1F3D3B25"/>
    <w:rsid w:val="1F67068F"/>
    <w:rsid w:val="1F711E07"/>
    <w:rsid w:val="1F737547"/>
    <w:rsid w:val="1F7665D0"/>
    <w:rsid w:val="1F865D96"/>
    <w:rsid w:val="1F935587"/>
    <w:rsid w:val="1F941997"/>
    <w:rsid w:val="1FA3607E"/>
    <w:rsid w:val="1FA6791C"/>
    <w:rsid w:val="1FCF2E9E"/>
    <w:rsid w:val="1FD863A1"/>
    <w:rsid w:val="1FE13754"/>
    <w:rsid w:val="1FF5321B"/>
    <w:rsid w:val="201C7BDE"/>
    <w:rsid w:val="20202CA8"/>
    <w:rsid w:val="205904EB"/>
    <w:rsid w:val="208745CC"/>
    <w:rsid w:val="208F03B0"/>
    <w:rsid w:val="208F6B0C"/>
    <w:rsid w:val="20A94238"/>
    <w:rsid w:val="20B00A53"/>
    <w:rsid w:val="20D15D35"/>
    <w:rsid w:val="20E679AE"/>
    <w:rsid w:val="20FA7F20"/>
    <w:rsid w:val="210A48F8"/>
    <w:rsid w:val="21126474"/>
    <w:rsid w:val="212578B6"/>
    <w:rsid w:val="2130749E"/>
    <w:rsid w:val="214353D2"/>
    <w:rsid w:val="215F2F97"/>
    <w:rsid w:val="21901E16"/>
    <w:rsid w:val="219353C0"/>
    <w:rsid w:val="219F64C0"/>
    <w:rsid w:val="21B225A8"/>
    <w:rsid w:val="21E870E9"/>
    <w:rsid w:val="21FF50C2"/>
    <w:rsid w:val="220A4192"/>
    <w:rsid w:val="2236006F"/>
    <w:rsid w:val="224872AB"/>
    <w:rsid w:val="225103D5"/>
    <w:rsid w:val="22576BB4"/>
    <w:rsid w:val="225C4C70"/>
    <w:rsid w:val="228D2A2D"/>
    <w:rsid w:val="22B440FE"/>
    <w:rsid w:val="22B719CF"/>
    <w:rsid w:val="22BE6D2B"/>
    <w:rsid w:val="22C41D2B"/>
    <w:rsid w:val="22CF5897"/>
    <w:rsid w:val="22DE7735"/>
    <w:rsid w:val="23282170"/>
    <w:rsid w:val="2332573A"/>
    <w:rsid w:val="236672FA"/>
    <w:rsid w:val="236712C5"/>
    <w:rsid w:val="2375388E"/>
    <w:rsid w:val="23856FEE"/>
    <w:rsid w:val="238F5F40"/>
    <w:rsid w:val="23A969EF"/>
    <w:rsid w:val="23B82226"/>
    <w:rsid w:val="23BE41FF"/>
    <w:rsid w:val="241666E6"/>
    <w:rsid w:val="241675D9"/>
    <w:rsid w:val="24215F33"/>
    <w:rsid w:val="24253506"/>
    <w:rsid w:val="24280900"/>
    <w:rsid w:val="242C2F08"/>
    <w:rsid w:val="243E7F25"/>
    <w:rsid w:val="245257F6"/>
    <w:rsid w:val="245539AA"/>
    <w:rsid w:val="246214B2"/>
    <w:rsid w:val="24717C0A"/>
    <w:rsid w:val="249417F6"/>
    <w:rsid w:val="249E0BC2"/>
    <w:rsid w:val="24A0493A"/>
    <w:rsid w:val="24A213E9"/>
    <w:rsid w:val="24B8298E"/>
    <w:rsid w:val="24B8601C"/>
    <w:rsid w:val="24BD01E0"/>
    <w:rsid w:val="24C20A79"/>
    <w:rsid w:val="24C63050"/>
    <w:rsid w:val="24D64800"/>
    <w:rsid w:val="24DC39FD"/>
    <w:rsid w:val="24DE2F5E"/>
    <w:rsid w:val="24DE5A50"/>
    <w:rsid w:val="24E44EEC"/>
    <w:rsid w:val="250A1156"/>
    <w:rsid w:val="253432D4"/>
    <w:rsid w:val="25345930"/>
    <w:rsid w:val="25622146"/>
    <w:rsid w:val="257B0FCC"/>
    <w:rsid w:val="25956469"/>
    <w:rsid w:val="259C42F4"/>
    <w:rsid w:val="25A00705"/>
    <w:rsid w:val="25B34B41"/>
    <w:rsid w:val="25D16D75"/>
    <w:rsid w:val="25D845A8"/>
    <w:rsid w:val="25DB75F5"/>
    <w:rsid w:val="25E52A26"/>
    <w:rsid w:val="25FB183E"/>
    <w:rsid w:val="260809E9"/>
    <w:rsid w:val="260F0BC3"/>
    <w:rsid w:val="26227008"/>
    <w:rsid w:val="262F1678"/>
    <w:rsid w:val="262F59AC"/>
    <w:rsid w:val="26412E38"/>
    <w:rsid w:val="2646228A"/>
    <w:rsid w:val="264816CA"/>
    <w:rsid w:val="264A5DC5"/>
    <w:rsid w:val="26667E05"/>
    <w:rsid w:val="26712BF1"/>
    <w:rsid w:val="268C0224"/>
    <w:rsid w:val="269160CB"/>
    <w:rsid w:val="2692229D"/>
    <w:rsid w:val="26A2284E"/>
    <w:rsid w:val="26B40B71"/>
    <w:rsid w:val="26EB2E9A"/>
    <w:rsid w:val="27271343"/>
    <w:rsid w:val="272974C5"/>
    <w:rsid w:val="273D4A27"/>
    <w:rsid w:val="27471CCA"/>
    <w:rsid w:val="274F0899"/>
    <w:rsid w:val="27795EC7"/>
    <w:rsid w:val="27942C94"/>
    <w:rsid w:val="279910C8"/>
    <w:rsid w:val="27AD5BBA"/>
    <w:rsid w:val="27B150B0"/>
    <w:rsid w:val="27C71695"/>
    <w:rsid w:val="27CC5A46"/>
    <w:rsid w:val="27D020C5"/>
    <w:rsid w:val="27EB2370"/>
    <w:rsid w:val="27F433F3"/>
    <w:rsid w:val="27FD02F5"/>
    <w:rsid w:val="28030FD2"/>
    <w:rsid w:val="28180C8B"/>
    <w:rsid w:val="281854D8"/>
    <w:rsid w:val="281B1705"/>
    <w:rsid w:val="282035B0"/>
    <w:rsid w:val="28207393"/>
    <w:rsid w:val="28371821"/>
    <w:rsid w:val="2837528B"/>
    <w:rsid w:val="28563058"/>
    <w:rsid w:val="285717B4"/>
    <w:rsid w:val="286363AA"/>
    <w:rsid w:val="28681C13"/>
    <w:rsid w:val="286C447B"/>
    <w:rsid w:val="2885221B"/>
    <w:rsid w:val="289D22D5"/>
    <w:rsid w:val="28AF21E8"/>
    <w:rsid w:val="28AF4F38"/>
    <w:rsid w:val="28B53402"/>
    <w:rsid w:val="28BE021D"/>
    <w:rsid w:val="28C35E9E"/>
    <w:rsid w:val="28CD7CC8"/>
    <w:rsid w:val="28CF06A1"/>
    <w:rsid w:val="28D76F66"/>
    <w:rsid w:val="28EC1F83"/>
    <w:rsid w:val="29190EF5"/>
    <w:rsid w:val="29244AEE"/>
    <w:rsid w:val="293944EF"/>
    <w:rsid w:val="293A5A7B"/>
    <w:rsid w:val="29437F8A"/>
    <w:rsid w:val="294B2644"/>
    <w:rsid w:val="29682C9E"/>
    <w:rsid w:val="29711F8E"/>
    <w:rsid w:val="297D0F61"/>
    <w:rsid w:val="2984482A"/>
    <w:rsid w:val="29B939D4"/>
    <w:rsid w:val="29EE6148"/>
    <w:rsid w:val="29FE36D3"/>
    <w:rsid w:val="29FF6EB0"/>
    <w:rsid w:val="2A1831C5"/>
    <w:rsid w:val="2A1A6F3D"/>
    <w:rsid w:val="2A244A7F"/>
    <w:rsid w:val="2A482C60"/>
    <w:rsid w:val="2A4E2317"/>
    <w:rsid w:val="2A5C57A7"/>
    <w:rsid w:val="2A60062D"/>
    <w:rsid w:val="2A6A3C7E"/>
    <w:rsid w:val="2A6B53D8"/>
    <w:rsid w:val="2A6F5553"/>
    <w:rsid w:val="2A7523C5"/>
    <w:rsid w:val="2A7A3E7F"/>
    <w:rsid w:val="2A877FCC"/>
    <w:rsid w:val="2A881FA6"/>
    <w:rsid w:val="2A9071FF"/>
    <w:rsid w:val="2A9B497E"/>
    <w:rsid w:val="2AB92060"/>
    <w:rsid w:val="2ACE7D31"/>
    <w:rsid w:val="2AE9690F"/>
    <w:rsid w:val="2AF849C9"/>
    <w:rsid w:val="2AFB65F1"/>
    <w:rsid w:val="2B0760E4"/>
    <w:rsid w:val="2B0C4A0B"/>
    <w:rsid w:val="2B141BDE"/>
    <w:rsid w:val="2B286403"/>
    <w:rsid w:val="2B4C75CA"/>
    <w:rsid w:val="2B5736B4"/>
    <w:rsid w:val="2B5D42EA"/>
    <w:rsid w:val="2B7703C2"/>
    <w:rsid w:val="2BAB43AF"/>
    <w:rsid w:val="2BCB1D15"/>
    <w:rsid w:val="2BDC73F9"/>
    <w:rsid w:val="2BFC6753"/>
    <w:rsid w:val="2C283F4E"/>
    <w:rsid w:val="2C295F87"/>
    <w:rsid w:val="2C32426C"/>
    <w:rsid w:val="2C3341FA"/>
    <w:rsid w:val="2C4B27F9"/>
    <w:rsid w:val="2C4B72F3"/>
    <w:rsid w:val="2C755D0D"/>
    <w:rsid w:val="2C8E2402"/>
    <w:rsid w:val="2CDD5986"/>
    <w:rsid w:val="2CE14D3D"/>
    <w:rsid w:val="2CE611C5"/>
    <w:rsid w:val="2CF05FDE"/>
    <w:rsid w:val="2D07742F"/>
    <w:rsid w:val="2D092718"/>
    <w:rsid w:val="2D2D51D9"/>
    <w:rsid w:val="2D4531F2"/>
    <w:rsid w:val="2D4A5E73"/>
    <w:rsid w:val="2D5C6855"/>
    <w:rsid w:val="2DAC25A2"/>
    <w:rsid w:val="2DAF1316"/>
    <w:rsid w:val="2DE819D3"/>
    <w:rsid w:val="2DFE055B"/>
    <w:rsid w:val="2E1B40C4"/>
    <w:rsid w:val="2E4C43EA"/>
    <w:rsid w:val="2E5362D0"/>
    <w:rsid w:val="2E553029"/>
    <w:rsid w:val="2E59418C"/>
    <w:rsid w:val="2E5D5B7E"/>
    <w:rsid w:val="2E6011ED"/>
    <w:rsid w:val="2E634685"/>
    <w:rsid w:val="2EB3170E"/>
    <w:rsid w:val="2EBF2C3F"/>
    <w:rsid w:val="2EC13E2B"/>
    <w:rsid w:val="2EC929D3"/>
    <w:rsid w:val="2ECD27D0"/>
    <w:rsid w:val="2EE304D6"/>
    <w:rsid w:val="2EE76CBC"/>
    <w:rsid w:val="2EF567E9"/>
    <w:rsid w:val="2F016FD4"/>
    <w:rsid w:val="2F0A1666"/>
    <w:rsid w:val="2F1B3072"/>
    <w:rsid w:val="2F3108C4"/>
    <w:rsid w:val="2F5A3C00"/>
    <w:rsid w:val="2F5E5B1E"/>
    <w:rsid w:val="2F6C6E57"/>
    <w:rsid w:val="2F741FA7"/>
    <w:rsid w:val="2F813903"/>
    <w:rsid w:val="2F8C54F8"/>
    <w:rsid w:val="2F8D6DF6"/>
    <w:rsid w:val="2FB032DC"/>
    <w:rsid w:val="2FCE2CA3"/>
    <w:rsid w:val="2FF67B42"/>
    <w:rsid w:val="2FF90A15"/>
    <w:rsid w:val="303B012E"/>
    <w:rsid w:val="304C2E1E"/>
    <w:rsid w:val="30574300"/>
    <w:rsid w:val="3057755D"/>
    <w:rsid w:val="306022B6"/>
    <w:rsid w:val="30655FAD"/>
    <w:rsid w:val="30731C57"/>
    <w:rsid w:val="30743382"/>
    <w:rsid w:val="30AB0C93"/>
    <w:rsid w:val="30B62064"/>
    <w:rsid w:val="30BC0D4E"/>
    <w:rsid w:val="30DE0729"/>
    <w:rsid w:val="30ED7935"/>
    <w:rsid w:val="311B7998"/>
    <w:rsid w:val="311F12DD"/>
    <w:rsid w:val="31281C4F"/>
    <w:rsid w:val="31423914"/>
    <w:rsid w:val="31436D79"/>
    <w:rsid w:val="315A0567"/>
    <w:rsid w:val="316D029A"/>
    <w:rsid w:val="31736B48"/>
    <w:rsid w:val="31AD74E7"/>
    <w:rsid w:val="31B25FEC"/>
    <w:rsid w:val="31B602E6"/>
    <w:rsid w:val="31D75713"/>
    <w:rsid w:val="31D94E80"/>
    <w:rsid w:val="31DE6AA2"/>
    <w:rsid w:val="31DE7AB3"/>
    <w:rsid w:val="31F64A83"/>
    <w:rsid w:val="31F95755"/>
    <w:rsid w:val="32022F8E"/>
    <w:rsid w:val="32230959"/>
    <w:rsid w:val="32402D91"/>
    <w:rsid w:val="32470AEB"/>
    <w:rsid w:val="32517229"/>
    <w:rsid w:val="32546D64"/>
    <w:rsid w:val="32556C13"/>
    <w:rsid w:val="32585C06"/>
    <w:rsid w:val="3261203E"/>
    <w:rsid w:val="327C4DBB"/>
    <w:rsid w:val="328F4EEC"/>
    <w:rsid w:val="32AD1602"/>
    <w:rsid w:val="32B51EF8"/>
    <w:rsid w:val="32B56CC6"/>
    <w:rsid w:val="32C5463A"/>
    <w:rsid w:val="32CC20B4"/>
    <w:rsid w:val="32EB5B0C"/>
    <w:rsid w:val="32ED0A48"/>
    <w:rsid w:val="330D3AE3"/>
    <w:rsid w:val="33723946"/>
    <w:rsid w:val="33857358"/>
    <w:rsid w:val="33B421B0"/>
    <w:rsid w:val="33C57A97"/>
    <w:rsid w:val="33CD5DAC"/>
    <w:rsid w:val="33D0367F"/>
    <w:rsid w:val="340C6B0B"/>
    <w:rsid w:val="345D3F58"/>
    <w:rsid w:val="34623DFA"/>
    <w:rsid w:val="34776306"/>
    <w:rsid w:val="347C2C10"/>
    <w:rsid w:val="347F3686"/>
    <w:rsid w:val="3482163C"/>
    <w:rsid w:val="34A25033"/>
    <w:rsid w:val="34A501FA"/>
    <w:rsid w:val="34B1344F"/>
    <w:rsid w:val="34B40572"/>
    <w:rsid w:val="34BC77EC"/>
    <w:rsid w:val="34C912C0"/>
    <w:rsid w:val="34D65FC6"/>
    <w:rsid w:val="34F767F8"/>
    <w:rsid w:val="35026220"/>
    <w:rsid w:val="350A6478"/>
    <w:rsid w:val="350C6B72"/>
    <w:rsid w:val="351A6567"/>
    <w:rsid w:val="352A05B4"/>
    <w:rsid w:val="35300E24"/>
    <w:rsid w:val="35332CDB"/>
    <w:rsid w:val="35453CA5"/>
    <w:rsid w:val="354870BE"/>
    <w:rsid w:val="35494B7A"/>
    <w:rsid w:val="35526CCC"/>
    <w:rsid w:val="35622745"/>
    <w:rsid w:val="35635C3C"/>
    <w:rsid w:val="35882D82"/>
    <w:rsid w:val="358E7882"/>
    <w:rsid w:val="35AE6B57"/>
    <w:rsid w:val="35B91C93"/>
    <w:rsid w:val="35CB085D"/>
    <w:rsid w:val="35E81A42"/>
    <w:rsid w:val="35F9785C"/>
    <w:rsid w:val="36167C4F"/>
    <w:rsid w:val="363378F3"/>
    <w:rsid w:val="36372C24"/>
    <w:rsid w:val="365B0D6A"/>
    <w:rsid w:val="365B4F30"/>
    <w:rsid w:val="36716136"/>
    <w:rsid w:val="36737BF7"/>
    <w:rsid w:val="367E70FE"/>
    <w:rsid w:val="36A858D0"/>
    <w:rsid w:val="36AD2EE7"/>
    <w:rsid w:val="36B24247"/>
    <w:rsid w:val="36E36908"/>
    <w:rsid w:val="36E60B37"/>
    <w:rsid w:val="36E74A97"/>
    <w:rsid w:val="36EC1A56"/>
    <w:rsid w:val="36F20B9A"/>
    <w:rsid w:val="3700570C"/>
    <w:rsid w:val="37133692"/>
    <w:rsid w:val="371C00B8"/>
    <w:rsid w:val="372B1CB5"/>
    <w:rsid w:val="3748158D"/>
    <w:rsid w:val="374B2C47"/>
    <w:rsid w:val="376A427B"/>
    <w:rsid w:val="37937CBD"/>
    <w:rsid w:val="37957E64"/>
    <w:rsid w:val="379E05B0"/>
    <w:rsid w:val="37FC5ED4"/>
    <w:rsid w:val="38046DDE"/>
    <w:rsid w:val="38132E35"/>
    <w:rsid w:val="38161401"/>
    <w:rsid w:val="381D3271"/>
    <w:rsid w:val="38806B05"/>
    <w:rsid w:val="38DB2732"/>
    <w:rsid w:val="38DE4F28"/>
    <w:rsid w:val="38F66DC7"/>
    <w:rsid w:val="390A2872"/>
    <w:rsid w:val="39253208"/>
    <w:rsid w:val="393D1509"/>
    <w:rsid w:val="39542005"/>
    <w:rsid w:val="399F745E"/>
    <w:rsid w:val="39E31C5D"/>
    <w:rsid w:val="39F07CBA"/>
    <w:rsid w:val="39F83BCD"/>
    <w:rsid w:val="39FA19C3"/>
    <w:rsid w:val="3A0A517B"/>
    <w:rsid w:val="3A1F7789"/>
    <w:rsid w:val="3A217E73"/>
    <w:rsid w:val="3A2F0B03"/>
    <w:rsid w:val="3A3323A9"/>
    <w:rsid w:val="3A810D62"/>
    <w:rsid w:val="3AB705A6"/>
    <w:rsid w:val="3ABA224D"/>
    <w:rsid w:val="3AC1443A"/>
    <w:rsid w:val="3AC66FA9"/>
    <w:rsid w:val="3AD74A60"/>
    <w:rsid w:val="3AEE2150"/>
    <w:rsid w:val="3B0E03F8"/>
    <w:rsid w:val="3B2824B1"/>
    <w:rsid w:val="3B335D97"/>
    <w:rsid w:val="3B4220B3"/>
    <w:rsid w:val="3B551AB8"/>
    <w:rsid w:val="3B6B7650"/>
    <w:rsid w:val="3B6C0F26"/>
    <w:rsid w:val="3B75434F"/>
    <w:rsid w:val="3B920AFE"/>
    <w:rsid w:val="3B9A7EDD"/>
    <w:rsid w:val="3BB16FD5"/>
    <w:rsid w:val="3BB53CBC"/>
    <w:rsid w:val="3BDA29D0"/>
    <w:rsid w:val="3BF921DA"/>
    <w:rsid w:val="3C035D77"/>
    <w:rsid w:val="3C1F35BD"/>
    <w:rsid w:val="3C204154"/>
    <w:rsid w:val="3C372A30"/>
    <w:rsid w:val="3C5A7B5C"/>
    <w:rsid w:val="3C5E4226"/>
    <w:rsid w:val="3C631774"/>
    <w:rsid w:val="3C691637"/>
    <w:rsid w:val="3C723860"/>
    <w:rsid w:val="3C7A4D97"/>
    <w:rsid w:val="3C9C6962"/>
    <w:rsid w:val="3CB60D47"/>
    <w:rsid w:val="3CC00333"/>
    <w:rsid w:val="3CCD6091"/>
    <w:rsid w:val="3CD265EF"/>
    <w:rsid w:val="3CD34CF2"/>
    <w:rsid w:val="3CE533DA"/>
    <w:rsid w:val="3CE65617"/>
    <w:rsid w:val="3CEA4D9C"/>
    <w:rsid w:val="3CF24CD4"/>
    <w:rsid w:val="3CFF7381"/>
    <w:rsid w:val="3D041FC4"/>
    <w:rsid w:val="3D17730C"/>
    <w:rsid w:val="3D211F38"/>
    <w:rsid w:val="3D2E4D81"/>
    <w:rsid w:val="3D351AF0"/>
    <w:rsid w:val="3D3B4664"/>
    <w:rsid w:val="3D401C09"/>
    <w:rsid w:val="3D8F1E7E"/>
    <w:rsid w:val="3D990760"/>
    <w:rsid w:val="3DA43295"/>
    <w:rsid w:val="3DAC4811"/>
    <w:rsid w:val="3DB15F49"/>
    <w:rsid w:val="3DB8289D"/>
    <w:rsid w:val="3DC00A44"/>
    <w:rsid w:val="3DC31599"/>
    <w:rsid w:val="3DCE1E5B"/>
    <w:rsid w:val="3DD418EB"/>
    <w:rsid w:val="3DE52CA9"/>
    <w:rsid w:val="3DEF4B51"/>
    <w:rsid w:val="3DFE0BF8"/>
    <w:rsid w:val="3E12578C"/>
    <w:rsid w:val="3E29430C"/>
    <w:rsid w:val="3E370C0A"/>
    <w:rsid w:val="3E43040A"/>
    <w:rsid w:val="3E4504D0"/>
    <w:rsid w:val="3E473A5B"/>
    <w:rsid w:val="3E4D56DB"/>
    <w:rsid w:val="3E4E4893"/>
    <w:rsid w:val="3E590829"/>
    <w:rsid w:val="3E68555E"/>
    <w:rsid w:val="3E856581"/>
    <w:rsid w:val="3E864749"/>
    <w:rsid w:val="3E8969DF"/>
    <w:rsid w:val="3E9E5151"/>
    <w:rsid w:val="3EA66B99"/>
    <w:rsid w:val="3EA674B4"/>
    <w:rsid w:val="3EAA48DB"/>
    <w:rsid w:val="3EC37F59"/>
    <w:rsid w:val="3ECD7C04"/>
    <w:rsid w:val="3EDD0669"/>
    <w:rsid w:val="3EF307DF"/>
    <w:rsid w:val="3F0062A9"/>
    <w:rsid w:val="3F4F5815"/>
    <w:rsid w:val="3F587112"/>
    <w:rsid w:val="3F722798"/>
    <w:rsid w:val="3F7F2DF1"/>
    <w:rsid w:val="3F817984"/>
    <w:rsid w:val="3F965A02"/>
    <w:rsid w:val="3FA258F7"/>
    <w:rsid w:val="3FA52D38"/>
    <w:rsid w:val="3FF96E55"/>
    <w:rsid w:val="40020685"/>
    <w:rsid w:val="401D2E8B"/>
    <w:rsid w:val="40251D40"/>
    <w:rsid w:val="402978A4"/>
    <w:rsid w:val="40460634"/>
    <w:rsid w:val="409E221E"/>
    <w:rsid w:val="40CC324D"/>
    <w:rsid w:val="40DC7E43"/>
    <w:rsid w:val="40EA7BCC"/>
    <w:rsid w:val="41004C87"/>
    <w:rsid w:val="4109780A"/>
    <w:rsid w:val="411918A4"/>
    <w:rsid w:val="411F2DBE"/>
    <w:rsid w:val="41324B48"/>
    <w:rsid w:val="41362456"/>
    <w:rsid w:val="415D07A3"/>
    <w:rsid w:val="415F0B01"/>
    <w:rsid w:val="41683412"/>
    <w:rsid w:val="418E317B"/>
    <w:rsid w:val="419E7FFC"/>
    <w:rsid w:val="41A67F7E"/>
    <w:rsid w:val="41B34253"/>
    <w:rsid w:val="42332B8B"/>
    <w:rsid w:val="425608D6"/>
    <w:rsid w:val="425E3619"/>
    <w:rsid w:val="42684422"/>
    <w:rsid w:val="42AA2A6C"/>
    <w:rsid w:val="42C534F8"/>
    <w:rsid w:val="42C71F82"/>
    <w:rsid w:val="42DE1133"/>
    <w:rsid w:val="42E761E2"/>
    <w:rsid w:val="42E97853"/>
    <w:rsid w:val="42EE0AA0"/>
    <w:rsid w:val="430D71E7"/>
    <w:rsid w:val="4310301D"/>
    <w:rsid w:val="43291B47"/>
    <w:rsid w:val="432F53AF"/>
    <w:rsid w:val="43396294"/>
    <w:rsid w:val="4345608A"/>
    <w:rsid w:val="43507E42"/>
    <w:rsid w:val="43520885"/>
    <w:rsid w:val="438652B8"/>
    <w:rsid w:val="4389537A"/>
    <w:rsid w:val="438B722D"/>
    <w:rsid w:val="438F30ED"/>
    <w:rsid w:val="43983404"/>
    <w:rsid w:val="43B212B8"/>
    <w:rsid w:val="43B32E6A"/>
    <w:rsid w:val="43BC1BE9"/>
    <w:rsid w:val="43BF773E"/>
    <w:rsid w:val="43D627BA"/>
    <w:rsid w:val="43E2203B"/>
    <w:rsid w:val="43E75C8A"/>
    <w:rsid w:val="44004F9E"/>
    <w:rsid w:val="440525B4"/>
    <w:rsid w:val="44081A45"/>
    <w:rsid w:val="44102FB4"/>
    <w:rsid w:val="441B4678"/>
    <w:rsid w:val="44292AF8"/>
    <w:rsid w:val="44384737"/>
    <w:rsid w:val="443852E0"/>
    <w:rsid w:val="444E7AB7"/>
    <w:rsid w:val="44501056"/>
    <w:rsid w:val="44691C26"/>
    <w:rsid w:val="449337E9"/>
    <w:rsid w:val="449B1F77"/>
    <w:rsid w:val="44A41DCD"/>
    <w:rsid w:val="44A8573C"/>
    <w:rsid w:val="44E368E1"/>
    <w:rsid w:val="450B7CFD"/>
    <w:rsid w:val="450D1720"/>
    <w:rsid w:val="451E392D"/>
    <w:rsid w:val="45275543"/>
    <w:rsid w:val="452B1BA6"/>
    <w:rsid w:val="454E03C4"/>
    <w:rsid w:val="455E3D2A"/>
    <w:rsid w:val="45660E30"/>
    <w:rsid w:val="457151C5"/>
    <w:rsid w:val="458F784B"/>
    <w:rsid w:val="45913574"/>
    <w:rsid w:val="45967968"/>
    <w:rsid w:val="45A91213"/>
    <w:rsid w:val="45DA335A"/>
    <w:rsid w:val="45E55ABB"/>
    <w:rsid w:val="45ED50AE"/>
    <w:rsid w:val="462A6302"/>
    <w:rsid w:val="464B2752"/>
    <w:rsid w:val="465B295F"/>
    <w:rsid w:val="46651743"/>
    <w:rsid w:val="469A5235"/>
    <w:rsid w:val="46A32FF7"/>
    <w:rsid w:val="46B32138"/>
    <w:rsid w:val="46BE307C"/>
    <w:rsid w:val="46EE7F43"/>
    <w:rsid w:val="46F15FAC"/>
    <w:rsid w:val="470E1780"/>
    <w:rsid w:val="472B0583"/>
    <w:rsid w:val="47334430"/>
    <w:rsid w:val="475E7D7A"/>
    <w:rsid w:val="47673348"/>
    <w:rsid w:val="477C4402"/>
    <w:rsid w:val="47947ED7"/>
    <w:rsid w:val="47A46DE2"/>
    <w:rsid w:val="47F22E4F"/>
    <w:rsid w:val="480A1F47"/>
    <w:rsid w:val="48186F52"/>
    <w:rsid w:val="4819255F"/>
    <w:rsid w:val="481C0BD1"/>
    <w:rsid w:val="481C6843"/>
    <w:rsid w:val="481E3C44"/>
    <w:rsid w:val="483D231C"/>
    <w:rsid w:val="484D0086"/>
    <w:rsid w:val="485875C8"/>
    <w:rsid w:val="486E5F66"/>
    <w:rsid w:val="4872312A"/>
    <w:rsid w:val="48971A73"/>
    <w:rsid w:val="48BE3CBF"/>
    <w:rsid w:val="48C53D36"/>
    <w:rsid w:val="48D41BF3"/>
    <w:rsid w:val="48DB3B9A"/>
    <w:rsid w:val="48EF4A64"/>
    <w:rsid w:val="48F17B93"/>
    <w:rsid w:val="48FE24D7"/>
    <w:rsid w:val="490960E7"/>
    <w:rsid w:val="490C05A8"/>
    <w:rsid w:val="492E2C7C"/>
    <w:rsid w:val="49483FCD"/>
    <w:rsid w:val="497C0446"/>
    <w:rsid w:val="498310BF"/>
    <w:rsid w:val="49903971"/>
    <w:rsid w:val="49A30BB6"/>
    <w:rsid w:val="49B2260A"/>
    <w:rsid w:val="49BA2580"/>
    <w:rsid w:val="49BA6221"/>
    <w:rsid w:val="49E9771F"/>
    <w:rsid w:val="49EA0282"/>
    <w:rsid w:val="49EA64D4"/>
    <w:rsid w:val="4A156309"/>
    <w:rsid w:val="4A4C2CEB"/>
    <w:rsid w:val="4A4C5E0E"/>
    <w:rsid w:val="4A627D8D"/>
    <w:rsid w:val="4A6D031A"/>
    <w:rsid w:val="4A6E0EB3"/>
    <w:rsid w:val="4A735726"/>
    <w:rsid w:val="4A83059F"/>
    <w:rsid w:val="4A9D1413"/>
    <w:rsid w:val="4AB17819"/>
    <w:rsid w:val="4AB4084F"/>
    <w:rsid w:val="4ACE0E7F"/>
    <w:rsid w:val="4AF40715"/>
    <w:rsid w:val="4B2A30D6"/>
    <w:rsid w:val="4B6A5607"/>
    <w:rsid w:val="4B837CB6"/>
    <w:rsid w:val="4B853C98"/>
    <w:rsid w:val="4BA55477"/>
    <w:rsid w:val="4BA57A63"/>
    <w:rsid w:val="4BA6467C"/>
    <w:rsid w:val="4BB67862"/>
    <w:rsid w:val="4BE85FBF"/>
    <w:rsid w:val="4C0B5FBA"/>
    <w:rsid w:val="4C194A09"/>
    <w:rsid w:val="4C26756B"/>
    <w:rsid w:val="4C6322BD"/>
    <w:rsid w:val="4C76404F"/>
    <w:rsid w:val="4C854292"/>
    <w:rsid w:val="4C856CA9"/>
    <w:rsid w:val="4C924AD4"/>
    <w:rsid w:val="4C9B3AB5"/>
    <w:rsid w:val="4CA2253F"/>
    <w:rsid w:val="4CAF2BC0"/>
    <w:rsid w:val="4CF30E5C"/>
    <w:rsid w:val="4CF905C4"/>
    <w:rsid w:val="4D047B32"/>
    <w:rsid w:val="4D095947"/>
    <w:rsid w:val="4D26464D"/>
    <w:rsid w:val="4D4836B7"/>
    <w:rsid w:val="4D4A5101"/>
    <w:rsid w:val="4D56354C"/>
    <w:rsid w:val="4D85734B"/>
    <w:rsid w:val="4DA83CD3"/>
    <w:rsid w:val="4DB36781"/>
    <w:rsid w:val="4DE118EF"/>
    <w:rsid w:val="4DFC6B62"/>
    <w:rsid w:val="4E0538DC"/>
    <w:rsid w:val="4E0673F1"/>
    <w:rsid w:val="4E163E67"/>
    <w:rsid w:val="4E177466"/>
    <w:rsid w:val="4E400864"/>
    <w:rsid w:val="4E41068C"/>
    <w:rsid w:val="4E4E0C03"/>
    <w:rsid w:val="4E507D60"/>
    <w:rsid w:val="4E595799"/>
    <w:rsid w:val="4E596E8E"/>
    <w:rsid w:val="4ECA0294"/>
    <w:rsid w:val="4EFE45E7"/>
    <w:rsid w:val="4F00443B"/>
    <w:rsid w:val="4F081523"/>
    <w:rsid w:val="4F0A6CD0"/>
    <w:rsid w:val="4F0F427E"/>
    <w:rsid w:val="4F187B9B"/>
    <w:rsid w:val="4F1D1393"/>
    <w:rsid w:val="4F2B58ED"/>
    <w:rsid w:val="4F3868E2"/>
    <w:rsid w:val="4F3B5450"/>
    <w:rsid w:val="4F430152"/>
    <w:rsid w:val="4F442C6E"/>
    <w:rsid w:val="4F4E4AEF"/>
    <w:rsid w:val="4F5400DF"/>
    <w:rsid w:val="4F596466"/>
    <w:rsid w:val="4F6208BA"/>
    <w:rsid w:val="4F670748"/>
    <w:rsid w:val="4F675ED1"/>
    <w:rsid w:val="4FD94FB2"/>
    <w:rsid w:val="4FE15517"/>
    <w:rsid w:val="4FF254FA"/>
    <w:rsid w:val="501778F7"/>
    <w:rsid w:val="501F1A46"/>
    <w:rsid w:val="50211B71"/>
    <w:rsid w:val="50220716"/>
    <w:rsid w:val="5023004A"/>
    <w:rsid w:val="503C1C66"/>
    <w:rsid w:val="50510EDC"/>
    <w:rsid w:val="5054732A"/>
    <w:rsid w:val="50847030"/>
    <w:rsid w:val="50A30B5D"/>
    <w:rsid w:val="50A849F3"/>
    <w:rsid w:val="50AC3599"/>
    <w:rsid w:val="50AC7027"/>
    <w:rsid w:val="50AF034A"/>
    <w:rsid w:val="50AF56BA"/>
    <w:rsid w:val="50BA30AA"/>
    <w:rsid w:val="50CE6DDC"/>
    <w:rsid w:val="50D305EC"/>
    <w:rsid w:val="50D46F17"/>
    <w:rsid w:val="50DF2C3A"/>
    <w:rsid w:val="511F4B0C"/>
    <w:rsid w:val="51233A70"/>
    <w:rsid w:val="51625809"/>
    <w:rsid w:val="518F4E6A"/>
    <w:rsid w:val="51964A4C"/>
    <w:rsid w:val="51A964CB"/>
    <w:rsid w:val="51E657D3"/>
    <w:rsid w:val="51EE4687"/>
    <w:rsid w:val="51FC6565"/>
    <w:rsid w:val="520F6167"/>
    <w:rsid w:val="52201836"/>
    <w:rsid w:val="5243726B"/>
    <w:rsid w:val="525C4903"/>
    <w:rsid w:val="52666914"/>
    <w:rsid w:val="527A30AE"/>
    <w:rsid w:val="52847024"/>
    <w:rsid w:val="52A23E1D"/>
    <w:rsid w:val="52BA7868"/>
    <w:rsid w:val="52BE1BEC"/>
    <w:rsid w:val="52C101D4"/>
    <w:rsid w:val="52CD4840"/>
    <w:rsid w:val="52E33AC0"/>
    <w:rsid w:val="53292B31"/>
    <w:rsid w:val="5334256E"/>
    <w:rsid w:val="534E5B94"/>
    <w:rsid w:val="5369253D"/>
    <w:rsid w:val="53740BBC"/>
    <w:rsid w:val="53D7567E"/>
    <w:rsid w:val="53DE3EC7"/>
    <w:rsid w:val="53E4017E"/>
    <w:rsid w:val="53EB09F0"/>
    <w:rsid w:val="53EC690A"/>
    <w:rsid w:val="53EE4E13"/>
    <w:rsid w:val="54034F25"/>
    <w:rsid w:val="540C2F22"/>
    <w:rsid w:val="54290784"/>
    <w:rsid w:val="542909DD"/>
    <w:rsid w:val="544563F5"/>
    <w:rsid w:val="544700C5"/>
    <w:rsid w:val="544E48CC"/>
    <w:rsid w:val="54553995"/>
    <w:rsid w:val="547E3808"/>
    <w:rsid w:val="549075A8"/>
    <w:rsid w:val="549C7388"/>
    <w:rsid w:val="54B8063D"/>
    <w:rsid w:val="54CA1392"/>
    <w:rsid w:val="54E3424B"/>
    <w:rsid w:val="54EC792C"/>
    <w:rsid w:val="553A27B1"/>
    <w:rsid w:val="55502B6F"/>
    <w:rsid w:val="555C2F6B"/>
    <w:rsid w:val="55615089"/>
    <w:rsid w:val="55631BDD"/>
    <w:rsid w:val="556611F2"/>
    <w:rsid w:val="55724AF6"/>
    <w:rsid w:val="558A1438"/>
    <w:rsid w:val="5598602F"/>
    <w:rsid w:val="559E030F"/>
    <w:rsid w:val="55BD6284"/>
    <w:rsid w:val="55D9132D"/>
    <w:rsid w:val="56020B74"/>
    <w:rsid w:val="56024BA5"/>
    <w:rsid w:val="56111251"/>
    <w:rsid w:val="56145250"/>
    <w:rsid w:val="56172CD4"/>
    <w:rsid w:val="56186656"/>
    <w:rsid w:val="561E2B90"/>
    <w:rsid w:val="565F091A"/>
    <w:rsid w:val="566909D8"/>
    <w:rsid w:val="566B70A2"/>
    <w:rsid w:val="56921D92"/>
    <w:rsid w:val="56A84715"/>
    <w:rsid w:val="56AD2D63"/>
    <w:rsid w:val="56AD3D7D"/>
    <w:rsid w:val="56AF77FE"/>
    <w:rsid w:val="56B47E6E"/>
    <w:rsid w:val="56C43A1C"/>
    <w:rsid w:val="56C63E25"/>
    <w:rsid w:val="56D41C62"/>
    <w:rsid w:val="56EE0C86"/>
    <w:rsid w:val="56EF59C0"/>
    <w:rsid w:val="56FC6710"/>
    <w:rsid w:val="570731A0"/>
    <w:rsid w:val="570F5152"/>
    <w:rsid w:val="572C3881"/>
    <w:rsid w:val="57374904"/>
    <w:rsid w:val="573C4A59"/>
    <w:rsid w:val="574C73CE"/>
    <w:rsid w:val="574F4688"/>
    <w:rsid w:val="578773D9"/>
    <w:rsid w:val="578866EA"/>
    <w:rsid w:val="57AA2F9B"/>
    <w:rsid w:val="57B83F60"/>
    <w:rsid w:val="57BB4855"/>
    <w:rsid w:val="57D4431F"/>
    <w:rsid w:val="57D745FF"/>
    <w:rsid w:val="57FC48C1"/>
    <w:rsid w:val="581D1E8E"/>
    <w:rsid w:val="583F0DC9"/>
    <w:rsid w:val="585963A8"/>
    <w:rsid w:val="585D4315"/>
    <w:rsid w:val="58A3648E"/>
    <w:rsid w:val="58BB6196"/>
    <w:rsid w:val="58CF1828"/>
    <w:rsid w:val="58E41412"/>
    <w:rsid w:val="58E473FE"/>
    <w:rsid w:val="58E6430A"/>
    <w:rsid w:val="58ED3809"/>
    <w:rsid w:val="58FF52FD"/>
    <w:rsid w:val="5904309B"/>
    <w:rsid w:val="591E0724"/>
    <w:rsid w:val="592D59EA"/>
    <w:rsid w:val="593557B5"/>
    <w:rsid w:val="594352B9"/>
    <w:rsid w:val="594F0101"/>
    <w:rsid w:val="595258C3"/>
    <w:rsid w:val="597D51F6"/>
    <w:rsid w:val="59933D6C"/>
    <w:rsid w:val="599C7697"/>
    <w:rsid w:val="59B42B02"/>
    <w:rsid w:val="59BA3492"/>
    <w:rsid w:val="59C27E37"/>
    <w:rsid w:val="59CB4220"/>
    <w:rsid w:val="59F9361A"/>
    <w:rsid w:val="5A12048A"/>
    <w:rsid w:val="5A2064D2"/>
    <w:rsid w:val="5A2903EE"/>
    <w:rsid w:val="5A3B2FCA"/>
    <w:rsid w:val="5A443BD5"/>
    <w:rsid w:val="5A48774A"/>
    <w:rsid w:val="5A4C2893"/>
    <w:rsid w:val="5A5D31A1"/>
    <w:rsid w:val="5A6279C1"/>
    <w:rsid w:val="5A6C6A91"/>
    <w:rsid w:val="5A754476"/>
    <w:rsid w:val="5A851901"/>
    <w:rsid w:val="5AA57A28"/>
    <w:rsid w:val="5AAC3332"/>
    <w:rsid w:val="5B02435D"/>
    <w:rsid w:val="5B033882"/>
    <w:rsid w:val="5B38483F"/>
    <w:rsid w:val="5B392E17"/>
    <w:rsid w:val="5B4A2424"/>
    <w:rsid w:val="5B6B4E2A"/>
    <w:rsid w:val="5B773940"/>
    <w:rsid w:val="5B7E082A"/>
    <w:rsid w:val="5B80112F"/>
    <w:rsid w:val="5B8A367F"/>
    <w:rsid w:val="5BAB62F2"/>
    <w:rsid w:val="5BB83059"/>
    <w:rsid w:val="5BBC1352"/>
    <w:rsid w:val="5BC8038A"/>
    <w:rsid w:val="5BE33131"/>
    <w:rsid w:val="5C007491"/>
    <w:rsid w:val="5C1D44E7"/>
    <w:rsid w:val="5C4C26D6"/>
    <w:rsid w:val="5C6B12C7"/>
    <w:rsid w:val="5C734107"/>
    <w:rsid w:val="5C7659A5"/>
    <w:rsid w:val="5C871D13"/>
    <w:rsid w:val="5C8E1685"/>
    <w:rsid w:val="5CA1268C"/>
    <w:rsid w:val="5CC65F1A"/>
    <w:rsid w:val="5CD9575C"/>
    <w:rsid w:val="5CE054DA"/>
    <w:rsid w:val="5CE15186"/>
    <w:rsid w:val="5CE24EBB"/>
    <w:rsid w:val="5CE718E4"/>
    <w:rsid w:val="5D027567"/>
    <w:rsid w:val="5D1007EF"/>
    <w:rsid w:val="5D1D2DAB"/>
    <w:rsid w:val="5D211424"/>
    <w:rsid w:val="5D290307"/>
    <w:rsid w:val="5D331AE8"/>
    <w:rsid w:val="5D3976D3"/>
    <w:rsid w:val="5D3D1206"/>
    <w:rsid w:val="5D5977A1"/>
    <w:rsid w:val="5D681792"/>
    <w:rsid w:val="5D7467A7"/>
    <w:rsid w:val="5D924CEB"/>
    <w:rsid w:val="5D932DFC"/>
    <w:rsid w:val="5D9543AA"/>
    <w:rsid w:val="5DAA7FFC"/>
    <w:rsid w:val="5DF84114"/>
    <w:rsid w:val="5E034D61"/>
    <w:rsid w:val="5E093474"/>
    <w:rsid w:val="5E2B52CB"/>
    <w:rsid w:val="5E321A87"/>
    <w:rsid w:val="5E3547AF"/>
    <w:rsid w:val="5E361E14"/>
    <w:rsid w:val="5E45699F"/>
    <w:rsid w:val="5E7F3101"/>
    <w:rsid w:val="5E9646A2"/>
    <w:rsid w:val="5E9D22F2"/>
    <w:rsid w:val="5EB34D46"/>
    <w:rsid w:val="5EBE5073"/>
    <w:rsid w:val="5ED05841"/>
    <w:rsid w:val="5ED82C06"/>
    <w:rsid w:val="5ED9286B"/>
    <w:rsid w:val="5EDB6C49"/>
    <w:rsid w:val="5EE13A22"/>
    <w:rsid w:val="5EF84D97"/>
    <w:rsid w:val="5F0E411A"/>
    <w:rsid w:val="5F2015A3"/>
    <w:rsid w:val="5F2505B7"/>
    <w:rsid w:val="5F3B723E"/>
    <w:rsid w:val="5F3F2534"/>
    <w:rsid w:val="5F564F24"/>
    <w:rsid w:val="5F5D64CF"/>
    <w:rsid w:val="5F92297B"/>
    <w:rsid w:val="5F9E6D67"/>
    <w:rsid w:val="5FAC59EB"/>
    <w:rsid w:val="5FAC62C1"/>
    <w:rsid w:val="5FBE22F9"/>
    <w:rsid w:val="5FCD42C2"/>
    <w:rsid w:val="5FD04AA3"/>
    <w:rsid w:val="6020411C"/>
    <w:rsid w:val="60377848"/>
    <w:rsid w:val="60395601"/>
    <w:rsid w:val="603F0E92"/>
    <w:rsid w:val="604F345F"/>
    <w:rsid w:val="605326A7"/>
    <w:rsid w:val="60600B18"/>
    <w:rsid w:val="60621732"/>
    <w:rsid w:val="60794DA4"/>
    <w:rsid w:val="609805E0"/>
    <w:rsid w:val="60A53EFC"/>
    <w:rsid w:val="60AB25E8"/>
    <w:rsid w:val="60C247B0"/>
    <w:rsid w:val="60D132C0"/>
    <w:rsid w:val="60F95EBE"/>
    <w:rsid w:val="60FB0B6F"/>
    <w:rsid w:val="610C1A1E"/>
    <w:rsid w:val="612C0BB3"/>
    <w:rsid w:val="61305BF0"/>
    <w:rsid w:val="613354AD"/>
    <w:rsid w:val="613F0A5C"/>
    <w:rsid w:val="614C7797"/>
    <w:rsid w:val="615207C4"/>
    <w:rsid w:val="61534507"/>
    <w:rsid w:val="618023A2"/>
    <w:rsid w:val="61816AA8"/>
    <w:rsid w:val="61977208"/>
    <w:rsid w:val="61994610"/>
    <w:rsid w:val="61A075C6"/>
    <w:rsid w:val="61AB27B4"/>
    <w:rsid w:val="61B84BB1"/>
    <w:rsid w:val="61B85511"/>
    <w:rsid w:val="61D97B9E"/>
    <w:rsid w:val="61DA09D6"/>
    <w:rsid w:val="61E4332A"/>
    <w:rsid w:val="62106145"/>
    <w:rsid w:val="622570DE"/>
    <w:rsid w:val="622F287E"/>
    <w:rsid w:val="625F6532"/>
    <w:rsid w:val="626D6A0D"/>
    <w:rsid w:val="626F0336"/>
    <w:rsid w:val="62820389"/>
    <w:rsid w:val="62913AA0"/>
    <w:rsid w:val="62B2048C"/>
    <w:rsid w:val="62B5576D"/>
    <w:rsid w:val="62C456BC"/>
    <w:rsid w:val="62CF5E0F"/>
    <w:rsid w:val="62EB414C"/>
    <w:rsid w:val="634C7460"/>
    <w:rsid w:val="63570ACB"/>
    <w:rsid w:val="6372336A"/>
    <w:rsid w:val="637339EF"/>
    <w:rsid w:val="637F56FA"/>
    <w:rsid w:val="63871BF1"/>
    <w:rsid w:val="639332E1"/>
    <w:rsid w:val="63CD1E6F"/>
    <w:rsid w:val="63D5059A"/>
    <w:rsid w:val="63D7141F"/>
    <w:rsid w:val="63F97D67"/>
    <w:rsid w:val="640032F1"/>
    <w:rsid w:val="641D5F6A"/>
    <w:rsid w:val="642575CD"/>
    <w:rsid w:val="64360F4E"/>
    <w:rsid w:val="645760BC"/>
    <w:rsid w:val="64627A6C"/>
    <w:rsid w:val="646463F2"/>
    <w:rsid w:val="64976126"/>
    <w:rsid w:val="64AA2690"/>
    <w:rsid w:val="64BA043A"/>
    <w:rsid w:val="64C00311"/>
    <w:rsid w:val="64CD637E"/>
    <w:rsid w:val="64DF79C1"/>
    <w:rsid w:val="64E9497A"/>
    <w:rsid w:val="64F302E2"/>
    <w:rsid w:val="6502071E"/>
    <w:rsid w:val="650B51BA"/>
    <w:rsid w:val="6511148C"/>
    <w:rsid w:val="6514429A"/>
    <w:rsid w:val="65283A61"/>
    <w:rsid w:val="65294A49"/>
    <w:rsid w:val="65401246"/>
    <w:rsid w:val="65461F06"/>
    <w:rsid w:val="655263D0"/>
    <w:rsid w:val="65722F66"/>
    <w:rsid w:val="657D1B52"/>
    <w:rsid w:val="65801643"/>
    <w:rsid w:val="658630FD"/>
    <w:rsid w:val="65891362"/>
    <w:rsid w:val="65A066CE"/>
    <w:rsid w:val="65AB4911"/>
    <w:rsid w:val="65B7152E"/>
    <w:rsid w:val="65C86007"/>
    <w:rsid w:val="65D5198E"/>
    <w:rsid w:val="65DA6458"/>
    <w:rsid w:val="65F06892"/>
    <w:rsid w:val="65F53DDF"/>
    <w:rsid w:val="662621EA"/>
    <w:rsid w:val="66296644"/>
    <w:rsid w:val="663E7896"/>
    <w:rsid w:val="664F1741"/>
    <w:rsid w:val="667042C8"/>
    <w:rsid w:val="6678739F"/>
    <w:rsid w:val="667A343E"/>
    <w:rsid w:val="66942EA9"/>
    <w:rsid w:val="66FE4F15"/>
    <w:rsid w:val="67037397"/>
    <w:rsid w:val="67117FE8"/>
    <w:rsid w:val="67177D85"/>
    <w:rsid w:val="67313121"/>
    <w:rsid w:val="674E19F8"/>
    <w:rsid w:val="674E659A"/>
    <w:rsid w:val="67850986"/>
    <w:rsid w:val="678708EC"/>
    <w:rsid w:val="679627B4"/>
    <w:rsid w:val="679D64DC"/>
    <w:rsid w:val="67AD44DD"/>
    <w:rsid w:val="67B657F0"/>
    <w:rsid w:val="67E97973"/>
    <w:rsid w:val="68060525"/>
    <w:rsid w:val="680F584B"/>
    <w:rsid w:val="681D7BE5"/>
    <w:rsid w:val="681F2A73"/>
    <w:rsid w:val="68344EE7"/>
    <w:rsid w:val="6859212C"/>
    <w:rsid w:val="685E6A40"/>
    <w:rsid w:val="686665D9"/>
    <w:rsid w:val="6878373F"/>
    <w:rsid w:val="687E455F"/>
    <w:rsid w:val="68CE02E6"/>
    <w:rsid w:val="68E04F48"/>
    <w:rsid w:val="68E72104"/>
    <w:rsid w:val="68EB40A9"/>
    <w:rsid w:val="69026B22"/>
    <w:rsid w:val="694B5122"/>
    <w:rsid w:val="6959245A"/>
    <w:rsid w:val="696831A3"/>
    <w:rsid w:val="697833DF"/>
    <w:rsid w:val="69CA2402"/>
    <w:rsid w:val="69E139BC"/>
    <w:rsid w:val="69EA352F"/>
    <w:rsid w:val="69FD22D1"/>
    <w:rsid w:val="6A190C69"/>
    <w:rsid w:val="6A260A0B"/>
    <w:rsid w:val="6A402C68"/>
    <w:rsid w:val="6A507A71"/>
    <w:rsid w:val="6A6C7F86"/>
    <w:rsid w:val="6A845731"/>
    <w:rsid w:val="6A9017EF"/>
    <w:rsid w:val="6AA56476"/>
    <w:rsid w:val="6AB402D7"/>
    <w:rsid w:val="6ABE0C43"/>
    <w:rsid w:val="6ACB2C44"/>
    <w:rsid w:val="6AF01925"/>
    <w:rsid w:val="6AFB2F2A"/>
    <w:rsid w:val="6B016B0D"/>
    <w:rsid w:val="6B0D0777"/>
    <w:rsid w:val="6B0F7313"/>
    <w:rsid w:val="6B1C31B7"/>
    <w:rsid w:val="6B2C0E70"/>
    <w:rsid w:val="6B324843"/>
    <w:rsid w:val="6B3E660A"/>
    <w:rsid w:val="6B483C6D"/>
    <w:rsid w:val="6B5F6A56"/>
    <w:rsid w:val="6B6C0BDE"/>
    <w:rsid w:val="6B6D3663"/>
    <w:rsid w:val="6B7743AB"/>
    <w:rsid w:val="6B7B2FD8"/>
    <w:rsid w:val="6B8002B3"/>
    <w:rsid w:val="6B836091"/>
    <w:rsid w:val="6B880E62"/>
    <w:rsid w:val="6B8F0831"/>
    <w:rsid w:val="6BB169FA"/>
    <w:rsid w:val="6BCB7ABB"/>
    <w:rsid w:val="6BCF6E80"/>
    <w:rsid w:val="6BF3257E"/>
    <w:rsid w:val="6C0140D1"/>
    <w:rsid w:val="6C2850DF"/>
    <w:rsid w:val="6C4F4BDA"/>
    <w:rsid w:val="6C682F18"/>
    <w:rsid w:val="6CA4326F"/>
    <w:rsid w:val="6CB45CDC"/>
    <w:rsid w:val="6CBC6F25"/>
    <w:rsid w:val="6CCB7647"/>
    <w:rsid w:val="6CDC3602"/>
    <w:rsid w:val="6CE412FF"/>
    <w:rsid w:val="6CE775C5"/>
    <w:rsid w:val="6CF84E50"/>
    <w:rsid w:val="6D35260A"/>
    <w:rsid w:val="6D47039E"/>
    <w:rsid w:val="6D641318"/>
    <w:rsid w:val="6D8A555B"/>
    <w:rsid w:val="6D8B2ACB"/>
    <w:rsid w:val="6D8D0DA1"/>
    <w:rsid w:val="6D9806E7"/>
    <w:rsid w:val="6DA34120"/>
    <w:rsid w:val="6DB0346F"/>
    <w:rsid w:val="6DBB5201"/>
    <w:rsid w:val="6DDF3FA6"/>
    <w:rsid w:val="6DE90D5D"/>
    <w:rsid w:val="6DF164C1"/>
    <w:rsid w:val="6E361438"/>
    <w:rsid w:val="6E3C160F"/>
    <w:rsid w:val="6E3F2F6E"/>
    <w:rsid w:val="6E435A68"/>
    <w:rsid w:val="6E476ED3"/>
    <w:rsid w:val="6E7A30D3"/>
    <w:rsid w:val="6E7C120D"/>
    <w:rsid w:val="6E87552E"/>
    <w:rsid w:val="6E8F63FE"/>
    <w:rsid w:val="6EA036EA"/>
    <w:rsid w:val="6EC20108"/>
    <w:rsid w:val="6EE70B67"/>
    <w:rsid w:val="6F03131A"/>
    <w:rsid w:val="6F044625"/>
    <w:rsid w:val="6F125A01"/>
    <w:rsid w:val="6F254CA2"/>
    <w:rsid w:val="6F2B0871"/>
    <w:rsid w:val="6F2F3EEF"/>
    <w:rsid w:val="6F346E0F"/>
    <w:rsid w:val="6F352EBD"/>
    <w:rsid w:val="6F4D02A3"/>
    <w:rsid w:val="6F547DC8"/>
    <w:rsid w:val="6F6479BE"/>
    <w:rsid w:val="6F7E6BF3"/>
    <w:rsid w:val="6FA26D85"/>
    <w:rsid w:val="6FCF0215"/>
    <w:rsid w:val="6FE85210"/>
    <w:rsid w:val="6FEC37F3"/>
    <w:rsid w:val="6FEC6252"/>
    <w:rsid w:val="6FED298F"/>
    <w:rsid w:val="70055B50"/>
    <w:rsid w:val="70141305"/>
    <w:rsid w:val="701B5529"/>
    <w:rsid w:val="705E0D28"/>
    <w:rsid w:val="70673B2B"/>
    <w:rsid w:val="707600AF"/>
    <w:rsid w:val="70822713"/>
    <w:rsid w:val="709C1A26"/>
    <w:rsid w:val="709E4F80"/>
    <w:rsid w:val="709F5073"/>
    <w:rsid w:val="70A82D32"/>
    <w:rsid w:val="70D12CD5"/>
    <w:rsid w:val="70F17A86"/>
    <w:rsid w:val="70F43CF9"/>
    <w:rsid w:val="71094B48"/>
    <w:rsid w:val="713544B5"/>
    <w:rsid w:val="7152599A"/>
    <w:rsid w:val="718E47F1"/>
    <w:rsid w:val="719641E7"/>
    <w:rsid w:val="71A52B5D"/>
    <w:rsid w:val="71D45FDD"/>
    <w:rsid w:val="71D77212"/>
    <w:rsid w:val="71E06E59"/>
    <w:rsid w:val="721C6818"/>
    <w:rsid w:val="722F0678"/>
    <w:rsid w:val="72325EF9"/>
    <w:rsid w:val="72431865"/>
    <w:rsid w:val="724D051D"/>
    <w:rsid w:val="727B566C"/>
    <w:rsid w:val="728E2C02"/>
    <w:rsid w:val="72922D32"/>
    <w:rsid w:val="72972DD6"/>
    <w:rsid w:val="72A746B3"/>
    <w:rsid w:val="72A844DC"/>
    <w:rsid w:val="72BD2D10"/>
    <w:rsid w:val="72C96396"/>
    <w:rsid w:val="72D32B74"/>
    <w:rsid w:val="72EF68C5"/>
    <w:rsid w:val="72FE3834"/>
    <w:rsid w:val="73015545"/>
    <w:rsid w:val="730B0113"/>
    <w:rsid w:val="730C408F"/>
    <w:rsid w:val="7320675D"/>
    <w:rsid w:val="73366C96"/>
    <w:rsid w:val="733E4377"/>
    <w:rsid w:val="734C4F52"/>
    <w:rsid w:val="735370F1"/>
    <w:rsid w:val="738D1D74"/>
    <w:rsid w:val="73C92407"/>
    <w:rsid w:val="73F45BB2"/>
    <w:rsid w:val="73F90621"/>
    <w:rsid w:val="740C00B8"/>
    <w:rsid w:val="74170623"/>
    <w:rsid w:val="74254277"/>
    <w:rsid w:val="743F1262"/>
    <w:rsid w:val="744828DB"/>
    <w:rsid w:val="745D7BFC"/>
    <w:rsid w:val="745F3497"/>
    <w:rsid w:val="74675EA7"/>
    <w:rsid w:val="746B3EB8"/>
    <w:rsid w:val="747A5946"/>
    <w:rsid w:val="749E5641"/>
    <w:rsid w:val="74AB2D49"/>
    <w:rsid w:val="74D32E6F"/>
    <w:rsid w:val="74D6036F"/>
    <w:rsid w:val="74DD0860"/>
    <w:rsid w:val="74E70088"/>
    <w:rsid w:val="74E71186"/>
    <w:rsid w:val="74E931FB"/>
    <w:rsid w:val="750251D9"/>
    <w:rsid w:val="75153B55"/>
    <w:rsid w:val="751A116C"/>
    <w:rsid w:val="751A5610"/>
    <w:rsid w:val="754D1541"/>
    <w:rsid w:val="755F59AA"/>
    <w:rsid w:val="75941E05"/>
    <w:rsid w:val="75A86778"/>
    <w:rsid w:val="75B65109"/>
    <w:rsid w:val="75BD0FA4"/>
    <w:rsid w:val="75CE1F56"/>
    <w:rsid w:val="75E663C6"/>
    <w:rsid w:val="75F2084A"/>
    <w:rsid w:val="761C43AC"/>
    <w:rsid w:val="762F50EB"/>
    <w:rsid w:val="763E0E8A"/>
    <w:rsid w:val="763F2515"/>
    <w:rsid w:val="764C7796"/>
    <w:rsid w:val="766905FD"/>
    <w:rsid w:val="767B0330"/>
    <w:rsid w:val="76A81C7E"/>
    <w:rsid w:val="76AA467B"/>
    <w:rsid w:val="76B15B00"/>
    <w:rsid w:val="76C15BEF"/>
    <w:rsid w:val="76C22F2E"/>
    <w:rsid w:val="76C7561E"/>
    <w:rsid w:val="76D10FD2"/>
    <w:rsid w:val="76D96E05"/>
    <w:rsid w:val="76E77774"/>
    <w:rsid w:val="76F459ED"/>
    <w:rsid w:val="770C3EE1"/>
    <w:rsid w:val="77393A06"/>
    <w:rsid w:val="774807C6"/>
    <w:rsid w:val="77495D38"/>
    <w:rsid w:val="774B13C8"/>
    <w:rsid w:val="77514274"/>
    <w:rsid w:val="775C4818"/>
    <w:rsid w:val="7763509C"/>
    <w:rsid w:val="77703E7D"/>
    <w:rsid w:val="778E065D"/>
    <w:rsid w:val="77C17D5C"/>
    <w:rsid w:val="77E96D1D"/>
    <w:rsid w:val="77F842C1"/>
    <w:rsid w:val="77FE71A3"/>
    <w:rsid w:val="78152C28"/>
    <w:rsid w:val="782238EE"/>
    <w:rsid w:val="78300CA6"/>
    <w:rsid w:val="78340710"/>
    <w:rsid w:val="783556D7"/>
    <w:rsid w:val="785250C1"/>
    <w:rsid w:val="78572E2E"/>
    <w:rsid w:val="786336B3"/>
    <w:rsid w:val="786372CE"/>
    <w:rsid w:val="78764C12"/>
    <w:rsid w:val="7884722D"/>
    <w:rsid w:val="788E3D9F"/>
    <w:rsid w:val="78A7445F"/>
    <w:rsid w:val="78AF7413"/>
    <w:rsid w:val="78D063A9"/>
    <w:rsid w:val="78E0447A"/>
    <w:rsid w:val="78FB45AA"/>
    <w:rsid w:val="7910652A"/>
    <w:rsid w:val="791D747D"/>
    <w:rsid w:val="79214E42"/>
    <w:rsid w:val="792D68EC"/>
    <w:rsid w:val="79415B65"/>
    <w:rsid w:val="794C38BE"/>
    <w:rsid w:val="79504B59"/>
    <w:rsid w:val="79751067"/>
    <w:rsid w:val="797E4885"/>
    <w:rsid w:val="798F663D"/>
    <w:rsid w:val="79957DE3"/>
    <w:rsid w:val="799C4845"/>
    <w:rsid w:val="79A436FA"/>
    <w:rsid w:val="79A54A1F"/>
    <w:rsid w:val="79B7450A"/>
    <w:rsid w:val="79BD656A"/>
    <w:rsid w:val="79C828CE"/>
    <w:rsid w:val="79CE48CA"/>
    <w:rsid w:val="79CF0533"/>
    <w:rsid w:val="79D02741"/>
    <w:rsid w:val="79E5228B"/>
    <w:rsid w:val="7A055650"/>
    <w:rsid w:val="7A140AD4"/>
    <w:rsid w:val="7A147A5F"/>
    <w:rsid w:val="7A20211A"/>
    <w:rsid w:val="7A253161"/>
    <w:rsid w:val="7A525582"/>
    <w:rsid w:val="7A5921DE"/>
    <w:rsid w:val="7A70182E"/>
    <w:rsid w:val="7A811E80"/>
    <w:rsid w:val="7A992B33"/>
    <w:rsid w:val="7AB43DD5"/>
    <w:rsid w:val="7AB77629"/>
    <w:rsid w:val="7AD903AD"/>
    <w:rsid w:val="7AFF7D2D"/>
    <w:rsid w:val="7B097235"/>
    <w:rsid w:val="7B2F3497"/>
    <w:rsid w:val="7B3B39CB"/>
    <w:rsid w:val="7B54433B"/>
    <w:rsid w:val="7B6770D5"/>
    <w:rsid w:val="7B737828"/>
    <w:rsid w:val="7B737F2F"/>
    <w:rsid w:val="7B7A3A72"/>
    <w:rsid w:val="7B7D2454"/>
    <w:rsid w:val="7BA1365D"/>
    <w:rsid w:val="7BA3656A"/>
    <w:rsid w:val="7BAB3A88"/>
    <w:rsid w:val="7BB55688"/>
    <w:rsid w:val="7BBE7055"/>
    <w:rsid w:val="7BC574B5"/>
    <w:rsid w:val="7BC7132C"/>
    <w:rsid w:val="7BCC26A4"/>
    <w:rsid w:val="7BD83B2F"/>
    <w:rsid w:val="7BEE3AFA"/>
    <w:rsid w:val="7BFA06AE"/>
    <w:rsid w:val="7C0001D6"/>
    <w:rsid w:val="7C1477AA"/>
    <w:rsid w:val="7C206582"/>
    <w:rsid w:val="7C357264"/>
    <w:rsid w:val="7C5F6B2B"/>
    <w:rsid w:val="7C6F0276"/>
    <w:rsid w:val="7CAA54CB"/>
    <w:rsid w:val="7CD36E26"/>
    <w:rsid w:val="7CE04CDF"/>
    <w:rsid w:val="7CF63742"/>
    <w:rsid w:val="7D1E6212"/>
    <w:rsid w:val="7D5A5D37"/>
    <w:rsid w:val="7D7D3C3A"/>
    <w:rsid w:val="7D7F0288"/>
    <w:rsid w:val="7D807FDA"/>
    <w:rsid w:val="7D871368"/>
    <w:rsid w:val="7DAC7021"/>
    <w:rsid w:val="7DC26844"/>
    <w:rsid w:val="7DC346B0"/>
    <w:rsid w:val="7DC43F0B"/>
    <w:rsid w:val="7DC56FE0"/>
    <w:rsid w:val="7E1D1CCD"/>
    <w:rsid w:val="7E34648B"/>
    <w:rsid w:val="7E3E411D"/>
    <w:rsid w:val="7E3E6976"/>
    <w:rsid w:val="7E420D47"/>
    <w:rsid w:val="7E5D5CFC"/>
    <w:rsid w:val="7E5E1A52"/>
    <w:rsid w:val="7E730FAB"/>
    <w:rsid w:val="7E8F4979"/>
    <w:rsid w:val="7E9220E1"/>
    <w:rsid w:val="7E9E1B36"/>
    <w:rsid w:val="7E9F199C"/>
    <w:rsid w:val="7EAA7C1A"/>
    <w:rsid w:val="7EAC0966"/>
    <w:rsid w:val="7EBD5980"/>
    <w:rsid w:val="7EC30AC6"/>
    <w:rsid w:val="7EC34622"/>
    <w:rsid w:val="7ECA1BEB"/>
    <w:rsid w:val="7ED05060"/>
    <w:rsid w:val="7EDB3C2A"/>
    <w:rsid w:val="7F2C0D60"/>
    <w:rsid w:val="7F482CAC"/>
    <w:rsid w:val="7F523F0E"/>
    <w:rsid w:val="7F663498"/>
    <w:rsid w:val="7F743C7C"/>
    <w:rsid w:val="7F761695"/>
    <w:rsid w:val="7F8069DA"/>
    <w:rsid w:val="7F9164CE"/>
    <w:rsid w:val="7FB95889"/>
    <w:rsid w:val="7FC543CA"/>
    <w:rsid w:val="7FC978FA"/>
    <w:rsid w:val="7FD4173E"/>
    <w:rsid w:val="7FD8234F"/>
    <w:rsid w:val="7FF058EB"/>
    <w:rsid w:val="7FF12162"/>
    <w:rsid w:val="7FF77D8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uiPriority="99" w:name="Normal Indent" w:locked="1"/>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qFormat="1" w:unhideWhenUsed="0" w:uiPriority="99" w:name="table of figures"/>
    <w:lsdException w:uiPriority="99" w:name="envelope address" w:locked="1"/>
    <w:lsdException w:uiPriority="99" w:name="envelope return" w:locked="1"/>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iPriority="99" w:semiHidden="0"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99" w:name="Date"/>
    <w:lsdException w:qFormat="1" w:unhideWhenUsed="0" w:uiPriority="99" w:semiHidden="0" w:name="Body Text First Indent"/>
    <w:lsdException w:qFormat="1" w:uiPriority="99" w:semiHidden="0"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0" w:semiHidden="0" w:name="Strong"/>
    <w:lsdException w:qFormat="1" w:unhideWhenUsed="0" w:uiPriority="0" w:semiHidden="0" w:name="Emphasis"/>
    <w:lsdException w:qFormat="1" w:unhideWhenUsed="0" w:uiPriority="99" w:name="Document Map"/>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5"/>
    <w:link w:val="40"/>
    <w:qFormat/>
    <w:uiPriority w:val="99"/>
    <w:pPr>
      <w:keepNext/>
      <w:numPr>
        <w:ilvl w:val="0"/>
        <w:numId w:val="1"/>
      </w:numPr>
      <w:spacing w:before="120" w:after="120"/>
      <w:outlineLvl w:val="0"/>
    </w:pPr>
    <w:rPr>
      <w:rFonts w:ascii="Times New Roman" w:hAnsi="Times New Roman" w:cs="Times New Roman"/>
      <w:b/>
      <w:bCs/>
      <w:kern w:val="44"/>
      <w:sz w:val="30"/>
      <w:szCs w:val="30"/>
    </w:rPr>
  </w:style>
  <w:style w:type="paragraph" w:styleId="6">
    <w:name w:val="heading 2"/>
    <w:basedOn w:val="1"/>
    <w:next w:val="5"/>
    <w:link w:val="41"/>
    <w:qFormat/>
    <w:uiPriority w:val="99"/>
    <w:pPr>
      <w:keepNext/>
      <w:numPr>
        <w:ilvl w:val="1"/>
        <w:numId w:val="1"/>
      </w:numPr>
      <w:spacing w:before="120" w:after="120"/>
      <w:outlineLvl w:val="1"/>
    </w:pPr>
    <w:rPr>
      <w:rFonts w:ascii="Times New Roman" w:hAnsi="Times New Roman" w:cs="Times New Roman"/>
      <w:b/>
      <w:bCs/>
      <w:sz w:val="28"/>
      <w:szCs w:val="28"/>
    </w:rPr>
  </w:style>
  <w:style w:type="paragraph" w:styleId="7">
    <w:name w:val="heading 3"/>
    <w:basedOn w:val="1"/>
    <w:next w:val="5"/>
    <w:link w:val="42"/>
    <w:qFormat/>
    <w:uiPriority w:val="99"/>
    <w:pPr>
      <w:keepNext/>
      <w:keepLines/>
      <w:numPr>
        <w:ilvl w:val="2"/>
        <w:numId w:val="1"/>
      </w:numPr>
      <w:spacing w:before="120" w:after="120" w:line="360" w:lineRule="auto"/>
      <w:outlineLvl w:val="2"/>
    </w:pPr>
    <w:rPr>
      <w:rFonts w:ascii="Times New Roman" w:hAnsi="Times New Roman" w:cs="Times New Roman"/>
      <w:b/>
      <w:bCs/>
      <w:sz w:val="24"/>
      <w:szCs w:val="24"/>
    </w:rPr>
  </w:style>
  <w:style w:type="paragraph" w:styleId="8">
    <w:name w:val="heading 4"/>
    <w:basedOn w:val="1"/>
    <w:next w:val="5"/>
    <w:link w:val="43"/>
    <w:qFormat/>
    <w:uiPriority w:val="99"/>
    <w:pPr>
      <w:keepNext/>
      <w:keepLines/>
      <w:widowControl/>
      <w:numPr>
        <w:ilvl w:val="3"/>
        <w:numId w:val="1"/>
      </w:numPr>
      <w:spacing w:before="120" w:after="120" w:line="360" w:lineRule="auto"/>
      <w:ind w:left="0" w:firstLine="0"/>
      <w:outlineLvl w:val="3"/>
    </w:pPr>
    <w:rPr>
      <w:rFonts w:ascii="Times New Roman" w:hAnsi="Times New Roman" w:cs="Times New Roman"/>
    </w:rPr>
  </w:style>
  <w:style w:type="paragraph" w:styleId="9">
    <w:name w:val="heading 5"/>
    <w:basedOn w:val="1"/>
    <w:next w:val="5"/>
    <w:link w:val="44"/>
    <w:qFormat/>
    <w:uiPriority w:val="99"/>
    <w:pPr>
      <w:keepNext/>
      <w:keepLines/>
      <w:widowControl/>
      <w:numPr>
        <w:ilvl w:val="4"/>
        <w:numId w:val="1"/>
      </w:numPr>
      <w:spacing w:before="120" w:after="120" w:line="360" w:lineRule="auto"/>
      <w:ind w:left="0" w:firstLine="0"/>
      <w:outlineLvl w:val="4"/>
    </w:pPr>
    <w:rPr>
      <w:rFonts w:ascii="Times New Roman" w:hAnsi="Times New Roman" w:cs="Times New Roman"/>
    </w:rPr>
  </w:style>
  <w:style w:type="paragraph" w:styleId="10">
    <w:name w:val="heading 6"/>
    <w:basedOn w:val="1"/>
    <w:next w:val="5"/>
    <w:link w:val="45"/>
    <w:qFormat/>
    <w:uiPriority w:val="99"/>
    <w:pPr>
      <w:keepNext/>
      <w:keepLines/>
      <w:widowControl/>
      <w:numPr>
        <w:ilvl w:val="5"/>
        <w:numId w:val="1"/>
      </w:numPr>
      <w:spacing w:before="120" w:after="120" w:line="360" w:lineRule="auto"/>
      <w:ind w:left="0" w:firstLine="0"/>
      <w:outlineLvl w:val="5"/>
    </w:pPr>
    <w:rPr>
      <w:rFonts w:ascii="Times New Roman" w:hAnsi="Times New Roman" w:cs="Times New Roman"/>
    </w:rPr>
  </w:style>
  <w:style w:type="paragraph" w:styleId="11">
    <w:name w:val="heading 7"/>
    <w:basedOn w:val="1"/>
    <w:next w:val="5"/>
    <w:link w:val="46"/>
    <w:qFormat/>
    <w:uiPriority w:val="99"/>
    <w:pPr>
      <w:keepNext/>
      <w:keepLines/>
      <w:widowControl/>
      <w:numPr>
        <w:ilvl w:val="6"/>
        <w:numId w:val="1"/>
      </w:numPr>
      <w:spacing w:before="120" w:after="120" w:line="360" w:lineRule="auto"/>
      <w:ind w:left="0" w:firstLine="0"/>
      <w:outlineLvl w:val="6"/>
    </w:pPr>
    <w:rPr>
      <w:rFonts w:ascii="Times New Roman" w:hAnsi="Times New Roman" w:cs="Times New Roman"/>
    </w:rPr>
  </w:style>
  <w:style w:type="paragraph" w:styleId="12">
    <w:name w:val="heading 8"/>
    <w:basedOn w:val="1"/>
    <w:next w:val="5"/>
    <w:link w:val="47"/>
    <w:qFormat/>
    <w:uiPriority w:val="99"/>
    <w:pPr>
      <w:keepNext/>
      <w:keepLines/>
      <w:widowControl/>
      <w:numPr>
        <w:ilvl w:val="7"/>
        <w:numId w:val="1"/>
      </w:numPr>
      <w:spacing w:before="120" w:after="120" w:line="360" w:lineRule="auto"/>
      <w:ind w:left="0" w:firstLine="0"/>
      <w:outlineLvl w:val="7"/>
    </w:pPr>
    <w:rPr>
      <w:rFonts w:ascii="Times New Roman" w:hAnsi="Times New Roman" w:cs="Times New Roman"/>
    </w:rPr>
  </w:style>
  <w:style w:type="paragraph" w:styleId="13">
    <w:name w:val="heading 9"/>
    <w:basedOn w:val="1"/>
    <w:next w:val="5"/>
    <w:link w:val="48"/>
    <w:qFormat/>
    <w:uiPriority w:val="99"/>
    <w:pPr>
      <w:keepNext/>
      <w:keepLines/>
      <w:widowControl/>
      <w:numPr>
        <w:ilvl w:val="8"/>
        <w:numId w:val="1"/>
      </w:numPr>
      <w:spacing w:before="120" w:after="120" w:line="360" w:lineRule="auto"/>
      <w:ind w:left="0" w:firstLine="0"/>
      <w:outlineLvl w:val="8"/>
    </w:pPr>
    <w:rPr>
      <w:rFonts w:ascii="Times New Roman" w:hAnsi="Times New Roman" w:cs="Times New Roman"/>
    </w:rPr>
  </w:style>
  <w:style w:type="character" w:default="1" w:styleId="35">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locked/>
    <w:uiPriority w:val="99"/>
    <w:pPr>
      <w:spacing w:line="240" w:lineRule="auto"/>
      <w:ind w:firstLine="420"/>
    </w:pPr>
    <w:rPr>
      <w:szCs w:val="21"/>
    </w:rPr>
  </w:style>
  <w:style w:type="paragraph" w:styleId="3">
    <w:name w:val="Body Text Indent"/>
    <w:basedOn w:val="1"/>
    <w:unhideWhenUsed/>
    <w:qFormat/>
    <w:locked/>
    <w:uiPriority w:val="99"/>
    <w:pPr>
      <w:spacing w:after="120"/>
      <w:ind w:left="420" w:leftChars="200"/>
    </w:pPr>
  </w:style>
  <w:style w:type="paragraph" w:styleId="5">
    <w:name w:val="Body Text First Indent"/>
    <w:basedOn w:val="1"/>
    <w:link w:val="56"/>
    <w:qFormat/>
    <w:uiPriority w:val="99"/>
    <w:pPr>
      <w:keepNext/>
      <w:snapToGrid w:val="0"/>
      <w:spacing w:line="360" w:lineRule="auto"/>
      <w:ind w:firstLine="200" w:firstLineChars="200"/>
    </w:pPr>
    <w:rPr>
      <w:rFonts w:ascii="Times New Roman" w:hAnsi="Times New Roman" w:cs="Times New Roman"/>
    </w:rPr>
  </w:style>
  <w:style w:type="paragraph" w:styleId="14">
    <w:name w:val="toc 7"/>
    <w:basedOn w:val="1"/>
    <w:next w:val="1"/>
    <w:semiHidden/>
    <w:qFormat/>
    <w:uiPriority w:val="99"/>
    <w:pPr>
      <w:ind w:left="2520" w:leftChars="1200"/>
    </w:pPr>
  </w:style>
  <w:style w:type="paragraph" w:styleId="15">
    <w:name w:val="Document Map"/>
    <w:basedOn w:val="1"/>
    <w:link w:val="69"/>
    <w:semiHidden/>
    <w:qFormat/>
    <w:uiPriority w:val="99"/>
    <w:pPr>
      <w:keepNext/>
      <w:widowControl/>
      <w:shd w:val="clear" w:color="auto" w:fill="000080"/>
    </w:pPr>
    <w:rPr>
      <w:rFonts w:ascii="Times New Roman" w:hAnsi="Times New Roman" w:cs="Times New Roman"/>
    </w:rPr>
  </w:style>
  <w:style w:type="paragraph" w:styleId="16">
    <w:name w:val="annotation text"/>
    <w:basedOn w:val="1"/>
    <w:link w:val="87"/>
    <w:semiHidden/>
    <w:qFormat/>
    <w:uiPriority w:val="99"/>
    <w:pPr>
      <w:jc w:val="left"/>
    </w:pPr>
  </w:style>
  <w:style w:type="paragraph" w:styleId="17">
    <w:name w:val="Body Text"/>
    <w:basedOn w:val="1"/>
    <w:link w:val="55"/>
    <w:qFormat/>
    <w:uiPriority w:val="99"/>
    <w:pPr>
      <w:spacing w:after="120"/>
    </w:pPr>
  </w:style>
  <w:style w:type="paragraph" w:styleId="18">
    <w:name w:val="toc 5"/>
    <w:basedOn w:val="1"/>
    <w:next w:val="1"/>
    <w:semiHidden/>
    <w:qFormat/>
    <w:uiPriority w:val="99"/>
    <w:pPr>
      <w:keepNext/>
      <w:widowControl/>
      <w:numPr>
        <w:ilvl w:val="0"/>
        <w:numId w:val="2"/>
      </w:numPr>
      <w:tabs>
        <w:tab w:val="clear" w:pos="420"/>
      </w:tabs>
      <w:ind w:left="800" w:leftChars="800" w:firstLine="0"/>
    </w:pPr>
    <w:rPr>
      <w:rFonts w:ascii="Times New Roman" w:hAnsi="Times New Roman" w:cs="Times New Roman"/>
    </w:rPr>
  </w:style>
  <w:style w:type="paragraph" w:styleId="19">
    <w:name w:val="toc 3"/>
    <w:basedOn w:val="1"/>
    <w:next w:val="1"/>
    <w:qFormat/>
    <w:uiPriority w:val="39"/>
    <w:pPr>
      <w:keepNext/>
      <w:widowControl/>
      <w:ind w:left="400" w:leftChars="400"/>
    </w:pPr>
    <w:rPr>
      <w:rFonts w:ascii="Times New Roman" w:hAnsi="Times New Roman" w:cs="Times New Roman"/>
    </w:rPr>
  </w:style>
  <w:style w:type="paragraph" w:styleId="20">
    <w:name w:val="toc 8"/>
    <w:basedOn w:val="1"/>
    <w:next w:val="1"/>
    <w:semiHidden/>
    <w:qFormat/>
    <w:uiPriority w:val="99"/>
    <w:pPr>
      <w:ind w:left="2940" w:leftChars="1400"/>
    </w:pPr>
  </w:style>
  <w:style w:type="paragraph" w:styleId="21">
    <w:name w:val="Date"/>
    <w:basedOn w:val="1"/>
    <w:next w:val="1"/>
    <w:link w:val="53"/>
    <w:semiHidden/>
    <w:qFormat/>
    <w:uiPriority w:val="99"/>
    <w:pPr>
      <w:ind w:left="100" w:leftChars="2500"/>
    </w:pPr>
  </w:style>
  <w:style w:type="paragraph" w:styleId="22">
    <w:name w:val="Balloon Text"/>
    <w:basedOn w:val="1"/>
    <w:link w:val="51"/>
    <w:semiHidden/>
    <w:qFormat/>
    <w:uiPriority w:val="99"/>
    <w:rPr>
      <w:sz w:val="18"/>
      <w:szCs w:val="18"/>
    </w:rPr>
  </w:style>
  <w:style w:type="paragraph" w:styleId="23">
    <w:name w:val="footer"/>
    <w:basedOn w:val="1"/>
    <w:link w:val="50"/>
    <w:qFormat/>
    <w:uiPriority w:val="99"/>
    <w:pPr>
      <w:tabs>
        <w:tab w:val="center" w:pos="4153"/>
        <w:tab w:val="right" w:pos="8306"/>
      </w:tabs>
      <w:snapToGrid w:val="0"/>
      <w:jc w:val="left"/>
    </w:pPr>
    <w:rPr>
      <w:sz w:val="18"/>
      <w:szCs w:val="18"/>
    </w:rPr>
  </w:style>
  <w:style w:type="paragraph" w:styleId="24">
    <w:name w:val="header"/>
    <w:basedOn w:val="1"/>
    <w:link w:val="49"/>
    <w:qFormat/>
    <w:uiPriority w:val="99"/>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pPr>
      <w:keepNext/>
      <w:widowControl/>
      <w:tabs>
        <w:tab w:val="right" w:leader="dot" w:pos="8302"/>
      </w:tabs>
      <w:ind w:firstLine="420"/>
    </w:pPr>
    <w:rPr>
      <w:rFonts w:ascii="Times New Roman" w:hAnsi="Times New Roman" w:cs="Times New Roman"/>
    </w:rPr>
  </w:style>
  <w:style w:type="paragraph" w:styleId="26">
    <w:name w:val="toc 4"/>
    <w:basedOn w:val="1"/>
    <w:next w:val="1"/>
    <w:semiHidden/>
    <w:qFormat/>
    <w:uiPriority w:val="99"/>
    <w:pPr>
      <w:keepNext/>
      <w:widowControl/>
      <w:ind w:left="600" w:leftChars="600"/>
    </w:pPr>
    <w:rPr>
      <w:rFonts w:ascii="Times New Roman" w:hAnsi="Times New Roman" w:cs="Times New Roman"/>
    </w:rPr>
  </w:style>
  <w:style w:type="paragraph" w:styleId="27">
    <w:name w:val="footnote text"/>
    <w:basedOn w:val="1"/>
    <w:link w:val="65"/>
    <w:semiHidden/>
    <w:qFormat/>
    <w:uiPriority w:val="99"/>
    <w:pPr>
      <w:keepNext/>
      <w:widowControl/>
      <w:snapToGrid w:val="0"/>
      <w:jc w:val="left"/>
    </w:pPr>
    <w:rPr>
      <w:rFonts w:ascii="Times New Roman" w:hAnsi="Times New Roman" w:cs="Times New Roman"/>
      <w:sz w:val="18"/>
      <w:szCs w:val="18"/>
    </w:rPr>
  </w:style>
  <w:style w:type="paragraph" w:styleId="28">
    <w:name w:val="toc 6"/>
    <w:basedOn w:val="1"/>
    <w:next w:val="1"/>
    <w:semiHidden/>
    <w:qFormat/>
    <w:uiPriority w:val="99"/>
    <w:pPr>
      <w:keepNext/>
      <w:widowControl/>
      <w:ind w:left="2100" w:leftChars="1000"/>
    </w:pPr>
    <w:rPr>
      <w:rFonts w:ascii="Times New Roman" w:hAnsi="Times New Roman" w:cs="Times New Roman"/>
    </w:rPr>
  </w:style>
  <w:style w:type="paragraph" w:styleId="29">
    <w:name w:val="table of figures"/>
    <w:basedOn w:val="1"/>
    <w:next w:val="1"/>
    <w:semiHidden/>
    <w:qFormat/>
    <w:uiPriority w:val="99"/>
    <w:pPr>
      <w:keepNext/>
      <w:widowControl/>
      <w:tabs>
        <w:tab w:val="right" w:leader="dot" w:pos="8302"/>
      </w:tabs>
      <w:ind w:left="567" w:hanging="567"/>
    </w:pPr>
    <w:rPr>
      <w:rFonts w:ascii="Times New Roman" w:hAnsi="Times New Roman" w:cs="Times New Roman"/>
    </w:rPr>
  </w:style>
  <w:style w:type="paragraph" w:styleId="30">
    <w:name w:val="toc 2"/>
    <w:basedOn w:val="1"/>
    <w:next w:val="1"/>
    <w:qFormat/>
    <w:uiPriority w:val="39"/>
    <w:pPr>
      <w:keepNext/>
      <w:widowControl/>
      <w:ind w:left="200" w:leftChars="200"/>
    </w:pPr>
    <w:rPr>
      <w:rFonts w:ascii="Times New Roman" w:hAnsi="Times New Roman" w:cs="Times New Roman"/>
    </w:rPr>
  </w:style>
  <w:style w:type="paragraph" w:styleId="31">
    <w:name w:val="toc 9"/>
    <w:basedOn w:val="1"/>
    <w:next w:val="1"/>
    <w:semiHidden/>
    <w:qFormat/>
    <w:uiPriority w:val="99"/>
    <w:pPr>
      <w:keepNext/>
      <w:widowControl/>
      <w:ind w:left="3360" w:leftChars="1600"/>
    </w:pPr>
    <w:rPr>
      <w:rFonts w:ascii="Times New Roman" w:hAnsi="Times New Roman" w:cs="Times New Roman"/>
    </w:rPr>
  </w:style>
  <w:style w:type="paragraph" w:styleId="32">
    <w:name w:val="annotation subject"/>
    <w:basedOn w:val="16"/>
    <w:next w:val="16"/>
    <w:link w:val="88"/>
    <w:semiHidden/>
    <w:qFormat/>
    <w:uiPriority w:val="99"/>
    <w:rPr>
      <w:b/>
      <w:bCs/>
    </w:rPr>
  </w:style>
  <w:style w:type="table" w:styleId="34">
    <w:name w:val="Table Grid"/>
    <w:basedOn w:val="33"/>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blStylePr w:type="firstRow">
      <w:pPr>
        <w:jc w:val="center"/>
      </w:pPr>
      <w:rPr>
        <w:rFonts w:eastAsia="Times New Roman"/>
        <w:b/>
        <w:bCs/>
        <w:sz w:val="21"/>
        <w:szCs w:val="21"/>
      </w:rPr>
      <w:tcPr>
        <w:shd w:val="clear" w:color="auto" w:fill="D9D9D9"/>
      </w:tcPr>
    </w:tblStylePr>
  </w:style>
  <w:style w:type="character" w:styleId="36">
    <w:name w:val="page number"/>
    <w:basedOn w:val="35"/>
    <w:qFormat/>
    <w:uiPriority w:val="99"/>
  </w:style>
  <w:style w:type="character" w:styleId="37">
    <w:name w:val="Hyperlink"/>
    <w:qFormat/>
    <w:uiPriority w:val="99"/>
    <w:rPr>
      <w:color w:val="0000FF"/>
      <w:u w:val="single"/>
    </w:rPr>
  </w:style>
  <w:style w:type="character" w:styleId="38">
    <w:name w:val="annotation reference"/>
    <w:semiHidden/>
    <w:qFormat/>
    <w:uiPriority w:val="99"/>
    <w:rPr>
      <w:sz w:val="21"/>
      <w:szCs w:val="21"/>
    </w:rPr>
  </w:style>
  <w:style w:type="character" w:styleId="39">
    <w:name w:val="footnote reference"/>
    <w:semiHidden/>
    <w:qFormat/>
    <w:uiPriority w:val="99"/>
    <w:rPr>
      <w:vertAlign w:val="superscript"/>
    </w:rPr>
  </w:style>
  <w:style w:type="character" w:customStyle="1" w:styleId="40">
    <w:name w:val="标题 1 字符"/>
    <w:link w:val="4"/>
    <w:qFormat/>
    <w:locked/>
    <w:uiPriority w:val="99"/>
    <w:rPr>
      <w:rFonts w:ascii="Times New Roman" w:hAnsi="Times New Roman" w:eastAsia="宋体" w:cs="Times New Roman"/>
      <w:b/>
      <w:bCs/>
      <w:kern w:val="44"/>
      <w:sz w:val="44"/>
      <w:szCs w:val="44"/>
    </w:rPr>
  </w:style>
  <w:style w:type="character" w:customStyle="1" w:styleId="41">
    <w:name w:val="标题 2 字符"/>
    <w:link w:val="6"/>
    <w:qFormat/>
    <w:locked/>
    <w:uiPriority w:val="99"/>
    <w:rPr>
      <w:rFonts w:ascii="Times New Roman" w:hAnsi="Times New Roman" w:eastAsia="宋体" w:cs="Times New Roman"/>
      <w:b/>
      <w:bCs/>
      <w:sz w:val="32"/>
      <w:szCs w:val="32"/>
    </w:rPr>
  </w:style>
  <w:style w:type="character" w:customStyle="1" w:styleId="42">
    <w:name w:val="标题 3 字符"/>
    <w:link w:val="7"/>
    <w:qFormat/>
    <w:locked/>
    <w:uiPriority w:val="99"/>
    <w:rPr>
      <w:rFonts w:ascii="Times New Roman" w:hAnsi="Times New Roman" w:eastAsia="宋体" w:cs="Times New Roman"/>
      <w:b/>
      <w:bCs/>
      <w:sz w:val="32"/>
      <w:szCs w:val="32"/>
    </w:rPr>
  </w:style>
  <w:style w:type="character" w:customStyle="1" w:styleId="43">
    <w:name w:val="标题 4 字符"/>
    <w:link w:val="8"/>
    <w:qFormat/>
    <w:locked/>
    <w:uiPriority w:val="99"/>
    <w:rPr>
      <w:rFonts w:ascii="Times New Roman" w:hAnsi="Times New Roman" w:eastAsia="宋体" w:cs="Times New Roman"/>
      <w:sz w:val="28"/>
      <w:szCs w:val="28"/>
    </w:rPr>
  </w:style>
  <w:style w:type="character" w:customStyle="1" w:styleId="44">
    <w:name w:val="标题 5 字符"/>
    <w:link w:val="9"/>
    <w:qFormat/>
    <w:locked/>
    <w:uiPriority w:val="99"/>
    <w:rPr>
      <w:rFonts w:ascii="Times New Roman" w:hAnsi="Times New Roman" w:eastAsia="宋体" w:cs="Times New Roman"/>
      <w:sz w:val="28"/>
      <w:szCs w:val="28"/>
    </w:rPr>
  </w:style>
  <w:style w:type="character" w:customStyle="1" w:styleId="45">
    <w:name w:val="标题 6 字符"/>
    <w:link w:val="10"/>
    <w:qFormat/>
    <w:locked/>
    <w:uiPriority w:val="99"/>
    <w:rPr>
      <w:rFonts w:ascii="Times New Roman" w:hAnsi="Times New Roman" w:eastAsia="宋体" w:cs="Times New Roman"/>
      <w:sz w:val="24"/>
      <w:szCs w:val="24"/>
    </w:rPr>
  </w:style>
  <w:style w:type="character" w:customStyle="1" w:styleId="46">
    <w:name w:val="标题 7 字符"/>
    <w:link w:val="11"/>
    <w:qFormat/>
    <w:locked/>
    <w:uiPriority w:val="99"/>
    <w:rPr>
      <w:rFonts w:ascii="Times New Roman" w:hAnsi="Times New Roman" w:eastAsia="宋体" w:cs="Times New Roman"/>
      <w:sz w:val="24"/>
      <w:szCs w:val="24"/>
    </w:rPr>
  </w:style>
  <w:style w:type="character" w:customStyle="1" w:styleId="47">
    <w:name w:val="标题 8 字符"/>
    <w:link w:val="12"/>
    <w:qFormat/>
    <w:locked/>
    <w:uiPriority w:val="99"/>
    <w:rPr>
      <w:rFonts w:ascii="Times New Roman" w:hAnsi="Times New Roman" w:eastAsia="宋体" w:cs="Times New Roman"/>
      <w:sz w:val="24"/>
      <w:szCs w:val="24"/>
    </w:rPr>
  </w:style>
  <w:style w:type="character" w:customStyle="1" w:styleId="48">
    <w:name w:val="标题 9 字符"/>
    <w:link w:val="13"/>
    <w:qFormat/>
    <w:locked/>
    <w:uiPriority w:val="99"/>
    <w:rPr>
      <w:rFonts w:ascii="Times New Roman" w:hAnsi="Times New Roman" w:eastAsia="宋体" w:cs="Times New Roman"/>
      <w:sz w:val="21"/>
      <w:szCs w:val="21"/>
    </w:rPr>
  </w:style>
  <w:style w:type="character" w:customStyle="1" w:styleId="49">
    <w:name w:val="页眉 字符"/>
    <w:link w:val="24"/>
    <w:qFormat/>
    <w:locked/>
    <w:uiPriority w:val="99"/>
    <w:rPr>
      <w:sz w:val="18"/>
      <w:szCs w:val="18"/>
    </w:rPr>
  </w:style>
  <w:style w:type="character" w:customStyle="1" w:styleId="50">
    <w:name w:val="页脚 字符"/>
    <w:link w:val="23"/>
    <w:qFormat/>
    <w:locked/>
    <w:uiPriority w:val="99"/>
    <w:rPr>
      <w:sz w:val="18"/>
      <w:szCs w:val="18"/>
    </w:rPr>
  </w:style>
  <w:style w:type="character" w:customStyle="1" w:styleId="51">
    <w:name w:val="批注框文本 字符"/>
    <w:link w:val="22"/>
    <w:qFormat/>
    <w:locked/>
    <w:uiPriority w:val="99"/>
    <w:rPr>
      <w:sz w:val="18"/>
      <w:szCs w:val="18"/>
    </w:rPr>
  </w:style>
  <w:style w:type="paragraph" w:styleId="52">
    <w:name w:val="List Paragraph"/>
    <w:basedOn w:val="1"/>
    <w:qFormat/>
    <w:uiPriority w:val="99"/>
    <w:pPr>
      <w:ind w:firstLine="420" w:firstLineChars="200"/>
    </w:pPr>
  </w:style>
  <w:style w:type="character" w:customStyle="1" w:styleId="53">
    <w:name w:val="日期 字符"/>
    <w:basedOn w:val="35"/>
    <w:link w:val="21"/>
    <w:semiHidden/>
    <w:qFormat/>
    <w:locked/>
    <w:uiPriority w:val="99"/>
  </w:style>
  <w:style w:type="paragraph" w:customStyle="1" w:styleId="54">
    <w:name w:val="小正文"/>
    <w:basedOn w:val="1"/>
    <w:qFormat/>
    <w:uiPriority w:val="99"/>
  </w:style>
  <w:style w:type="character" w:customStyle="1" w:styleId="55">
    <w:name w:val="正文文本 字符"/>
    <w:basedOn w:val="35"/>
    <w:link w:val="17"/>
    <w:qFormat/>
    <w:locked/>
    <w:uiPriority w:val="99"/>
  </w:style>
  <w:style w:type="character" w:customStyle="1" w:styleId="56">
    <w:name w:val="正文文本首行缩进 字符"/>
    <w:link w:val="5"/>
    <w:qFormat/>
    <w:locked/>
    <w:uiPriority w:val="99"/>
    <w:rPr>
      <w:rFonts w:ascii="Times New Roman" w:hAnsi="Times New Roman" w:eastAsia="宋体" w:cs="Times New Roman"/>
      <w:sz w:val="24"/>
      <w:szCs w:val="24"/>
    </w:rPr>
  </w:style>
  <w:style w:type="paragraph" w:customStyle="1" w:styleId="57">
    <w:name w:val="封面文档标题"/>
    <w:basedOn w:val="1"/>
    <w:next w:val="1"/>
    <w:qFormat/>
    <w:uiPriority w:val="99"/>
    <w:pPr>
      <w:keepNext/>
      <w:widowControl/>
      <w:numPr>
        <w:ilvl w:val="0"/>
        <w:numId w:val="3"/>
      </w:numPr>
      <w:tabs>
        <w:tab w:val="clear" w:pos="420"/>
      </w:tabs>
      <w:ind w:left="0" w:firstLine="0"/>
      <w:jc w:val="center"/>
    </w:pPr>
    <w:rPr>
      <w:rFonts w:ascii="Times New Roman" w:hAnsi="Times New Roman" w:cs="Times New Roman"/>
      <w:b/>
      <w:bCs/>
      <w:sz w:val="52"/>
      <w:szCs w:val="52"/>
    </w:rPr>
  </w:style>
  <w:style w:type="paragraph" w:customStyle="1" w:styleId="58">
    <w:name w:val="封面公司名称"/>
    <w:basedOn w:val="1"/>
    <w:next w:val="1"/>
    <w:qFormat/>
    <w:uiPriority w:val="99"/>
    <w:pPr>
      <w:keepNext/>
      <w:widowControl/>
      <w:jc w:val="center"/>
    </w:pPr>
    <w:rPr>
      <w:rFonts w:ascii="Times New Roman" w:hAnsi="Times New Roman" w:cs="Times New Roman"/>
      <w:b/>
      <w:bCs/>
      <w:sz w:val="36"/>
      <w:szCs w:val="36"/>
    </w:rPr>
  </w:style>
  <w:style w:type="paragraph" w:customStyle="1" w:styleId="59">
    <w:name w:val="目录标题"/>
    <w:basedOn w:val="1"/>
    <w:next w:val="1"/>
    <w:qFormat/>
    <w:uiPriority w:val="99"/>
    <w:pPr>
      <w:keepNext/>
      <w:widowControl/>
      <w:spacing w:beforeLines="100" w:afterLines="50"/>
      <w:jc w:val="center"/>
    </w:pPr>
    <w:rPr>
      <w:rFonts w:ascii="Times New Roman" w:hAnsi="Times New Roman" w:cs="Times New Roman"/>
      <w:b/>
      <w:bCs/>
      <w:spacing w:val="60"/>
      <w:sz w:val="24"/>
      <w:szCs w:val="24"/>
    </w:rPr>
  </w:style>
  <w:style w:type="paragraph" w:customStyle="1" w:styleId="60">
    <w:name w:val="图号"/>
    <w:basedOn w:val="1"/>
    <w:next w:val="5"/>
    <w:qFormat/>
    <w:uiPriority w:val="99"/>
    <w:pPr>
      <w:keepNext/>
      <w:widowControl/>
      <w:numPr>
        <w:ilvl w:val="0"/>
        <w:numId w:val="4"/>
      </w:numPr>
      <w:spacing w:afterLines="50"/>
      <w:ind w:left="0" w:hanging="200" w:hangingChars="200"/>
      <w:jc w:val="center"/>
    </w:pPr>
    <w:rPr>
      <w:rFonts w:ascii="Times New Roman" w:hAnsi="Times New Roman" w:cs="Times New Roman"/>
    </w:rPr>
  </w:style>
  <w:style w:type="paragraph" w:customStyle="1" w:styleId="61">
    <w:name w:val="表号"/>
    <w:basedOn w:val="1"/>
    <w:next w:val="1"/>
    <w:qFormat/>
    <w:uiPriority w:val="99"/>
    <w:pPr>
      <w:keepNext/>
      <w:widowControl/>
      <w:numPr>
        <w:ilvl w:val="0"/>
        <w:numId w:val="5"/>
      </w:numPr>
      <w:spacing w:line="360" w:lineRule="auto"/>
      <w:ind w:left="0" w:hanging="200" w:hangingChars="200"/>
      <w:jc w:val="center"/>
    </w:pPr>
    <w:rPr>
      <w:rFonts w:ascii="Times New Roman" w:hAnsi="Times New Roman" w:cs="Times New Roman"/>
    </w:rPr>
  </w:style>
  <w:style w:type="paragraph" w:customStyle="1" w:styleId="62">
    <w:name w:val="图片"/>
    <w:basedOn w:val="1"/>
    <w:next w:val="60"/>
    <w:link w:val="63"/>
    <w:qFormat/>
    <w:uiPriority w:val="99"/>
    <w:pPr>
      <w:keepNext/>
      <w:widowControl/>
      <w:jc w:val="center"/>
    </w:pPr>
    <w:rPr>
      <w:rFonts w:ascii="Times New Roman" w:hAnsi="Times New Roman" w:cs="Times New Roman"/>
      <w:kern w:val="0"/>
      <w:sz w:val="24"/>
      <w:szCs w:val="24"/>
    </w:rPr>
  </w:style>
  <w:style w:type="character" w:customStyle="1" w:styleId="63">
    <w:name w:val="图片 Char"/>
    <w:link w:val="62"/>
    <w:qFormat/>
    <w:locked/>
    <w:uiPriority w:val="99"/>
    <w:rPr>
      <w:rFonts w:ascii="Times New Roman" w:hAnsi="Times New Roman" w:eastAsia="宋体" w:cs="Times New Roman"/>
      <w:sz w:val="24"/>
      <w:szCs w:val="24"/>
    </w:rPr>
  </w:style>
  <w:style w:type="paragraph" w:customStyle="1" w:styleId="64">
    <w:name w:val="文档标题"/>
    <w:basedOn w:val="1"/>
    <w:qFormat/>
    <w:uiPriority w:val="99"/>
    <w:pPr>
      <w:keepNext/>
      <w:widowControl/>
      <w:spacing w:after="60"/>
      <w:jc w:val="center"/>
    </w:pPr>
    <w:rPr>
      <w:rFonts w:ascii="Times New Roman" w:hAnsi="Times New Roman" w:cs="Times New Roman"/>
      <w:b/>
      <w:bCs/>
      <w:sz w:val="44"/>
      <w:szCs w:val="44"/>
    </w:rPr>
  </w:style>
  <w:style w:type="character" w:customStyle="1" w:styleId="65">
    <w:name w:val="脚注文本 字符"/>
    <w:link w:val="27"/>
    <w:semiHidden/>
    <w:qFormat/>
    <w:locked/>
    <w:uiPriority w:val="99"/>
    <w:rPr>
      <w:rFonts w:ascii="Times New Roman" w:hAnsi="Times New Roman" w:eastAsia="宋体" w:cs="Times New Roman"/>
      <w:sz w:val="18"/>
      <w:szCs w:val="18"/>
    </w:rPr>
  </w:style>
  <w:style w:type="paragraph" w:customStyle="1" w:styleId="66">
    <w:name w:val="代码1"/>
    <w:basedOn w:val="5"/>
    <w:qFormat/>
    <w:uiPriority w:val="99"/>
    <w:pPr>
      <w:spacing w:line="240" w:lineRule="auto"/>
      <w:ind w:firstLine="0" w:firstLineChars="0"/>
      <w:jc w:val="left"/>
    </w:pPr>
    <w:rPr>
      <w:rFonts w:ascii="Courier New" w:hAnsi="Courier New" w:cs="Courier New"/>
      <w:i/>
      <w:iCs/>
    </w:rPr>
  </w:style>
  <w:style w:type="paragraph" w:customStyle="1" w:styleId="67">
    <w:name w:val="代码2"/>
    <w:basedOn w:val="66"/>
    <w:qFormat/>
    <w:uiPriority w:val="99"/>
    <w:pPr>
      <w:ind w:left="200" w:leftChars="200"/>
    </w:pPr>
  </w:style>
  <w:style w:type="paragraph" w:customStyle="1" w:styleId="68">
    <w:name w:val="代码3"/>
    <w:basedOn w:val="67"/>
    <w:qFormat/>
    <w:uiPriority w:val="99"/>
    <w:pPr>
      <w:ind w:left="400" w:leftChars="400"/>
    </w:pPr>
  </w:style>
  <w:style w:type="character" w:customStyle="1" w:styleId="69">
    <w:name w:val="文档结构图 字符"/>
    <w:link w:val="15"/>
    <w:semiHidden/>
    <w:qFormat/>
    <w:locked/>
    <w:uiPriority w:val="99"/>
    <w:rPr>
      <w:rFonts w:ascii="Times New Roman" w:hAnsi="Times New Roman" w:eastAsia="宋体" w:cs="Times New Roman"/>
      <w:sz w:val="24"/>
      <w:szCs w:val="24"/>
      <w:shd w:val="clear" w:color="auto" w:fill="000080"/>
    </w:rPr>
  </w:style>
  <w:style w:type="paragraph" w:customStyle="1" w:styleId="70">
    <w:name w:val="封面文档完成时间"/>
    <w:basedOn w:val="1"/>
    <w:next w:val="58"/>
    <w:qFormat/>
    <w:uiPriority w:val="99"/>
    <w:pPr>
      <w:keepNext/>
      <w:widowControl/>
      <w:spacing w:beforeLines="50"/>
      <w:jc w:val="center"/>
    </w:pPr>
    <w:rPr>
      <w:rFonts w:ascii="Times New Roman" w:hAnsi="Times New Roman" w:cs="Times New Roman"/>
      <w:sz w:val="24"/>
      <w:szCs w:val="24"/>
    </w:rPr>
  </w:style>
  <w:style w:type="paragraph" w:customStyle="1" w:styleId="71">
    <w:name w:val="代码4"/>
    <w:basedOn w:val="68"/>
    <w:qFormat/>
    <w:uiPriority w:val="99"/>
    <w:pPr>
      <w:ind w:left="600" w:leftChars="600"/>
    </w:pPr>
  </w:style>
  <w:style w:type="paragraph" w:customStyle="1" w:styleId="72">
    <w:name w:val="代码5"/>
    <w:basedOn w:val="71"/>
    <w:qFormat/>
    <w:uiPriority w:val="99"/>
    <w:pPr>
      <w:ind w:left="800" w:leftChars="800"/>
    </w:pPr>
  </w:style>
  <w:style w:type="paragraph" w:customStyle="1" w:styleId="73">
    <w:name w:val="代码6"/>
    <w:basedOn w:val="72"/>
    <w:qFormat/>
    <w:uiPriority w:val="99"/>
    <w:pPr>
      <w:ind w:left="1000" w:leftChars="1000"/>
    </w:pPr>
  </w:style>
  <w:style w:type="paragraph" w:customStyle="1" w:styleId="74">
    <w:name w:val="代码7"/>
    <w:basedOn w:val="73"/>
    <w:qFormat/>
    <w:uiPriority w:val="99"/>
    <w:pPr>
      <w:ind w:left="1200" w:leftChars="1200"/>
    </w:pPr>
  </w:style>
  <w:style w:type="paragraph" w:customStyle="1" w:styleId="75">
    <w:name w:val="代码8"/>
    <w:basedOn w:val="74"/>
    <w:qFormat/>
    <w:uiPriority w:val="99"/>
    <w:pPr>
      <w:ind w:left="1400" w:leftChars="1400"/>
    </w:pPr>
  </w:style>
  <w:style w:type="paragraph" w:customStyle="1" w:styleId="76">
    <w:name w:val="代码9"/>
    <w:basedOn w:val="75"/>
    <w:qFormat/>
    <w:uiPriority w:val="99"/>
    <w:pPr>
      <w:ind w:left="1600" w:leftChars="1600"/>
    </w:pPr>
  </w:style>
  <w:style w:type="paragraph" w:customStyle="1" w:styleId="77">
    <w:name w:val="图元文字"/>
    <w:basedOn w:val="1"/>
    <w:qFormat/>
    <w:uiPriority w:val="99"/>
    <w:pPr>
      <w:keepNext/>
      <w:widowControl/>
      <w:spacing w:line="180" w:lineRule="atLeast"/>
      <w:jc w:val="center"/>
      <w:textAlignment w:val="center"/>
    </w:pPr>
    <w:rPr>
      <w:rFonts w:ascii="Times New Roman" w:hAnsi="Times New Roman" w:cs="Times New Roman"/>
      <w:sz w:val="18"/>
      <w:szCs w:val="18"/>
    </w:rPr>
  </w:style>
  <w:style w:type="paragraph" w:customStyle="1" w:styleId="78">
    <w:name w:val="编写建议"/>
    <w:basedOn w:val="5"/>
    <w:qFormat/>
    <w:uiPriority w:val="99"/>
    <w:pPr>
      <w:ind w:firstLine="420"/>
    </w:pPr>
    <w:rPr>
      <w:i/>
      <w:iCs/>
      <w:color w:val="0000FF"/>
    </w:rPr>
  </w:style>
  <w:style w:type="paragraph" w:customStyle="1" w:styleId="79">
    <w:name w:val="会签页单位名称"/>
    <w:basedOn w:val="1"/>
    <w:qFormat/>
    <w:uiPriority w:val="99"/>
    <w:pPr>
      <w:keepNext/>
      <w:widowControl/>
      <w:spacing w:beforeLines="200" w:line="480" w:lineRule="auto"/>
      <w:jc w:val="left"/>
    </w:pPr>
    <w:rPr>
      <w:rFonts w:ascii="Times New Roman" w:hAnsi="Times New Roman" w:cs="Times New Roman"/>
      <w:b/>
      <w:bCs/>
      <w:sz w:val="28"/>
      <w:szCs w:val="28"/>
    </w:rPr>
  </w:style>
  <w:style w:type="paragraph" w:customStyle="1" w:styleId="80">
    <w:name w:val="会签页签字项"/>
    <w:basedOn w:val="1"/>
    <w:qFormat/>
    <w:uiPriority w:val="99"/>
    <w:pPr>
      <w:keepNext/>
      <w:widowControl/>
      <w:spacing w:line="480" w:lineRule="auto"/>
      <w:jc w:val="left"/>
    </w:pPr>
    <w:rPr>
      <w:rFonts w:ascii="Times New Roman" w:hAnsi="Times New Roman" w:cs="Times New Roman"/>
      <w:sz w:val="24"/>
      <w:szCs w:val="24"/>
    </w:rPr>
  </w:style>
  <w:style w:type="paragraph" w:customStyle="1" w:styleId="81">
    <w:name w:val="封底公司名称"/>
    <w:basedOn w:val="1"/>
    <w:next w:val="1"/>
    <w:link w:val="82"/>
    <w:qFormat/>
    <w:uiPriority w:val="99"/>
    <w:pPr>
      <w:keepNext/>
      <w:widowControl/>
      <w:adjustRightInd w:val="0"/>
      <w:spacing w:beforeLines="100"/>
      <w:jc w:val="center"/>
    </w:pPr>
    <w:rPr>
      <w:rFonts w:ascii="Times New Roman" w:hAnsi="Times New Roman" w:cs="Times New Roman"/>
      <w:b/>
      <w:bCs/>
      <w:spacing w:val="20"/>
      <w:kern w:val="0"/>
      <w:sz w:val="24"/>
      <w:szCs w:val="24"/>
    </w:rPr>
  </w:style>
  <w:style w:type="character" w:customStyle="1" w:styleId="82">
    <w:name w:val="封底公司名称 Char"/>
    <w:link w:val="81"/>
    <w:qFormat/>
    <w:locked/>
    <w:uiPriority w:val="99"/>
    <w:rPr>
      <w:rFonts w:ascii="Times New Roman" w:hAnsi="Times New Roman" w:eastAsia="宋体" w:cs="Times New Roman"/>
      <w:b/>
      <w:bCs/>
      <w:spacing w:val="20"/>
      <w:sz w:val="24"/>
      <w:szCs w:val="24"/>
    </w:rPr>
  </w:style>
  <w:style w:type="paragraph" w:customStyle="1" w:styleId="83">
    <w:name w:val="会签页文档标题"/>
    <w:basedOn w:val="1"/>
    <w:qFormat/>
    <w:uiPriority w:val="99"/>
    <w:pPr>
      <w:keepNext/>
      <w:widowControl/>
      <w:jc w:val="center"/>
    </w:pPr>
    <w:rPr>
      <w:rFonts w:ascii="Times New Roman" w:hAnsi="Times New Roman" w:cs="Times New Roman"/>
      <w:b/>
      <w:bCs/>
      <w:sz w:val="32"/>
      <w:szCs w:val="32"/>
    </w:rPr>
  </w:style>
  <w:style w:type="paragraph" w:customStyle="1" w:styleId="84">
    <w:name w:val="内容摘要标题"/>
    <w:basedOn w:val="4"/>
    <w:next w:val="85"/>
    <w:qFormat/>
    <w:uiPriority w:val="99"/>
    <w:pPr>
      <w:numPr>
        <w:numId w:val="0"/>
      </w:numPr>
    </w:pPr>
  </w:style>
  <w:style w:type="paragraph" w:customStyle="1" w:styleId="85">
    <w:name w:val="内容摘要条目"/>
    <w:basedOn w:val="5"/>
    <w:qFormat/>
    <w:uiPriority w:val="99"/>
    <w:pPr>
      <w:spacing w:beforeLines="100"/>
      <w:ind w:firstLine="0" w:firstLineChars="0"/>
    </w:pPr>
  </w:style>
  <w:style w:type="paragraph" w:customStyle="1" w:styleId="86">
    <w:name w:val="TOC Heading"/>
    <w:basedOn w:val="4"/>
    <w:next w:val="1"/>
    <w:qFormat/>
    <w:uiPriority w:val="99"/>
    <w:pPr>
      <w:keepLines/>
      <w:widowControl/>
      <w:numPr>
        <w:numId w:val="0"/>
      </w:numPr>
      <w:spacing w:before="240" w:after="0" w:line="259" w:lineRule="auto"/>
      <w:jc w:val="left"/>
      <w:outlineLvl w:val="9"/>
    </w:pPr>
    <w:rPr>
      <w:rFonts w:ascii="Cambria" w:hAnsi="Cambria" w:cs="Cambria"/>
      <w:b w:val="0"/>
      <w:bCs w:val="0"/>
      <w:color w:val="365F91"/>
      <w:kern w:val="0"/>
      <w:sz w:val="32"/>
      <w:szCs w:val="32"/>
    </w:rPr>
  </w:style>
  <w:style w:type="character" w:customStyle="1" w:styleId="87">
    <w:name w:val="批注文字 字符"/>
    <w:basedOn w:val="35"/>
    <w:link w:val="16"/>
    <w:semiHidden/>
    <w:qFormat/>
    <w:locked/>
    <w:uiPriority w:val="99"/>
  </w:style>
  <w:style w:type="character" w:customStyle="1" w:styleId="88">
    <w:name w:val="批注主题 字符"/>
    <w:link w:val="32"/>
    <w:semiHidden/>
    <w:qFormat/>
    <w:locked/>
    <w:uiPriority w:val="99"/>
    <w:rPr>
      <w:b/>
      <w:bCs/>
    </w:rPr>
  </w:style>
  <w:style w:type="paragraph" w:styleId="89">
    <w:name w:val="No Spacing"/>
    <w:link w:val="90"/>
    <w:qFormat/>
    <w:uiPriority w:val="99"/>
    <w:rPr>
      <w:rFonts w:ascii="Calibri" w:hAnsi="Calibri" w:eastAsia="宋体" w:cs="Calibri"/>
      <w:sz w:val="22"/>
      <w:szCs w:val="22"/>
      <w:lang w:val="en-US" w:eastAsia="zh-CN" w:bidi="ar-SA"/>
    </w:rPr>
  </w:style>
  <w:style w:type="character" w:customStyle="1" w:styleId="90">
    <w:name w:val="无间隔 字符"/>
    <w:link w:val="89"/>
    <w:qFormat/>
    <w:locked/>
    <w:uiPriority w:val="99"/>
    <w:rPr>
      <w:sz w:val="22"/>
      <w:szCs w:val="22"/>
      <w:lang w:val="en-US" w:eastAsia="zh-CN"/>
    </w:rPr>
  </w:style>
  <w:style w:type="character" w:customStyle="1" w:styleId="91">
    <w:name w:val="Highlighted Variable"/>
    <w:qFormat/>
    <w:uiPriority w:val="0"/>
    <w:rPr>
      <w:rFonts w:ascii="宋体" w:hAnsi="宋体" w:eastAsia="宋体"/>
      <w:color w:val="0000FF"/>
    </w:rPr>
  </w:style>
  <w:style w:type="paragraph" w:customStyle="1" w:styleId="92">
    <w:name w:val="QH正文1"/>
    <w:basedOn w:val="17"/>
    <w:qFormat/>
    <w:uiPriority w:val="0"/>
    <w:pPr>
      <w:widowControl/>
      <w:adjustRightInd w:val="0"/>
      <w:spacing w:before="120"/>
      <w:ind w:left="1700"/>
      <w:jc w:val="left"/>
      <w:textAlignment w:val="baseline"/>
    </w:pPr>
    <w:rPr>
      <w:rFonts w:ascii="Book Antiqua" w:hAnsi="Book Antiqua" w:cs="Times New Roman"/>
      <w:kern w:val="0"/>
      <w:szCs w:val="20"/>
    </w:rPr>
  </w:style>
  <w:style w:type="paragraph" w:customStyle="1" w:styleId="93">
    <w:name w:val="Table Text"/>
    <w:basedOn w:val="1"/>
    <w:qFormat/>
    <w:uiPriority w:val="0"/>
    <w:pPr>
      <w:keepLines/>
      <w:widowControl/>
      <w:adjustRightInd w:val="0"/>
      <w:jc w:val="left"/>
      <w:textAlignment w:val="baseline"/>
    </w:pPr>
    <w:rPr>
      <w:rFonts w:ascii="Book Antiqua" w:hAnsi="Book Antiqua" w:cs="Times New Roman"/>
      <w:kern w:val="0"/>
      <w:sz w:val="16"/>
      <w:szCs w:val="20"/>
    </w:rPr>
  </w:style>
  <w:style w:type="paragraph" w:customStyle="1" w:styleId="94">
    <w:name w:val="Table Heading"/>
    <w:basedOn w:val="93"/>
    <w:qFormat/>
    <w:uiPriority w:val="0"/>
    <w:pPr>
      <w:spacing w:before="120" w:after="120"/>
    </w:pPr>
    <w:rPr>
      <w:b/>
    </w:rPr>
  </w:style>
  <w:style w:type="paragraph" w:customStyle="1" w:styleId="95">
    <w:name w:val="QH标题2"/>
    <w:basedOn w:val="7"/>
    <w:next w:val="1"/>
    <w:qFormat/>
    <w:uiPriority w:val="0"/>
    <w:pPr>
      <w:widowControl/>
      <w:numPr>
        <w:ilvl w:val="0"/>
        <w:numId w:val="0"/>
      </w:numPr>
      <w:adjustRightInd w:val="0"/>
      <w:spacing w:before="0" w:line="0" w:lineRule="atLeast"/>
      <w:ind w:right="8409"/>
      <w:jc w:val="left"/>
    </w:pPr>
    <w:rPr>
      <w:rFonts w:ascii="宋体" w:hAnsi="Book Antiqua"/>
      <w:bCs w:val="0"/>
      <w:kern w:val="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微软用户</Company>
  <Pages>5</Pages>
  <Words>300</Words>
  <Characters>1716</Characters>
  <Lines>14</Lines>
  <Paragraphs>4</Paragraphs>
  <TotalTime>2</TotalTime>
  <ScaleCrop>false</ScaleCrop>
  <LinksUpToDate>false</LinksUpToDate>
  <CharactersWithSpaces>2012</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2015-09-14T02:13:00Z</dcterms:created>
  <dc:creator>chen7</dc:creator>
  <cp:lastModifiedBy>NeverStop</cp:lastModifiedBy>
  <cp:lastPrinted>2015-09-14T03:14:00Z</cp:lastPrinted>
  <dcterms:modified xsi:type="dcterms:W3CDTF">2024-02-02T01:56:12Z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064D391667A8432785036131B483FD48</vt:lpwstr>
  </property>
</Properties>
</file>